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A49" w:rsidP="00746067" w:rsidRDefault="00B51A49" w14:paraId="41A7B012" w14:textId="7B03D1D3">
      <w:pPr>
        <w:jc w:val="both"/>
        <w:rPr>
          <w:b/>
          <w:bCs/>
        </w:rPr>
      </w:pPr>
      <w:r>
        <w:t>Diapositiva 1: Modulo 2</w:t>
      </w:r>
    </w:p>
    <w:p w:rsidR="002041DC" w:rsidP="00746067" w:rsidRDefault="002041DC" w14:paraId="40A9F110" w14:textId="77777777">
      <w:pPr>
        <w:jc w:val="both"/>
        <w:rPr>
          <w:b/>
          <w:bCs/>
        </w:rPr>
      </w:pPr>
      <w:r>
        <w:t xml:space="preserve">Gestione della produzione di alimenti e bevande </w:t>
      </w:r>
    </w:p>
    <w:p w:rsidR="00B51A49" w:rsidP="00746067" w:rsidRDefault="00B51A49" w14:paraId="23E7C6C3" w14:textId="5291C096">
      <w:pPr>
        <w:jc w:val="both"/>
        <w:rPr>
          <w:b/>
          <w:bCs/>
        </w:rPr>
      </w:pPr>
      <w:r>
        <w:t>Diapositiva2: obiettivi della sessione 5</w:t>
      </w:r>
    </w:p>
    <w:p w:rsidR="00B51A49" w:rsidP="00746067" w:rsidRDefault="00EE3298" w14:paraId="6A05512E" w14:textId="747CE0E8">
      <w:pPr>
        <w:jc w:val="both"/>
        <w:rPr>
          <w:b/>
          <w:bCs/>
        </w:rPr>
      </w:pPr>
      <w:r>
        <w:t>Questa sessione mira specificamente a fornire ai partecipanti sia la comprensione teorica che gli strumenti operativi per affrontare lo spreco alimentare nella produzione. Esploreremo le migliori pratiche, dalla gestione snella all'analisi predittiva, dalle strategie di collaborazione al coinvolgimento della comunità. Attraverso esempi reali, come quelli di Tesco, Nestlé e Starbucks, i partecipanti impareranno come identificare le inefficienze, implementare miglioramenti mirati e scalare le innovazioni di successo. Sia in contesti educativi che professionali, l'obiettivo è promuovere una cultura del miglioramento continuo e dell'uso sostenibile delle risorse.</w:t>
      </w:r>
    </w:p>
    <w:p w:rsidRPr="00746067" w:rsidR="00DD2C49" w:rsidP="00746067" w:rsidRDefault="00DD2C49" w14:paraId="0E589F30" w14:textId="591A88F7">
      <w:pPr>
        <w:jc w:val="both"/>
        <w:rPr>
          <w:b/>
          <w:bCs/>
        </w:rPr>
      </w:pPr>
      <w:r>
        <w:t>Diapositiva 3: Introduzione allo spreco alimentare nella produzione</w:t>
      </w:r>
    </w:p>
    <w:p w:rsidRPr="002E7405" w:rsidR="00DD2C49" w:rsidP="00746067" w:rsidRDefault="00DD2C49" w14:paraId="3A13ACD5" w14:textId="56E13EB1">
      <w:pPr>
        <w:jc w:val="both"/>
      </w:pPr>
      <w:r>
        <w:t>La produzione alimentare è un'area critica in cui si verificano gli sprechi alimentari. La comprensione del fenomeno richiede una prospettiva teorica basata su principi di sostenibilità come la gestione snella e l'economia circolare. Dal punto di vista operativo, le organizzazioni e le imprese possono ridurre gli sprechi implementando strategie di gestione delle scorte, audit degli sprechi e programmazione della produzione. Un esempio concreto è quello di Tesco, che ha ridotto i rifiuti alimentari del 25% grazie a una gestione efficiente della catena di approvvigionamento. In un contesto educativo, questa sezione fornisce strumenti per analizzare e ridurre le inefficienze nei processi di preparazione e di approvvigionamento, mentre in un contesto professionale offre un quadro per ottimizzare le risorse e migliorare la sostenibilità.</w:t>
      </w:r>
    </w:p>
    <w:p w:rsidRPr="00746067" w:rsidR="00DD2C49" w:rsidP="00746067" w:rsidRDefault="00DD2C49" w14:paraId="1FDA35D5" w14:textId="77777777">
      <w:pPr>
        <w:jc w:val="both"/>
        <w:rPr>
          <w:b/>
          <w:bCs/>
        </w:rPr>
      </w:pPr>
      <w:r>
        <w:t>Diapositiva 4: Introduzione allo spreco alimentare nella produzione (continuazione)</w:t>
      </w:r>
    </w:p>
    <w:p w:rsidRPr="002E7405" w:rsidR="00DD2C49" w:rsidP="00746067" w:rsidRDefault="00DD2C49" w14:paraId="41513A76" w14:textId="14E0BD83">
      <w:pPr>
        <w:jc w:val="both"/>
      </w:pPr>
      <w:r>
        <w:t>L'approccio operativo alla riduzione degli sprechi nella produzione alimentare si basa su metodologie consolidate. Tecniche come il monitoraggio della catena di approvvigionamento e pratiche di gestione delle scorte come il FIFO (First In, First Out) aiutano a ottimizzare l'uso delle materie prime. In un contesto educativo, questa sezione consente di approfondire le metodologie di gestione efficiente, mentre in ambito professionale aiuta a implementare le strategie di riduzione degli sprechi, con un impatto positivo sia sulla sostenibilità che sulla redditività.</w:t>
      </w:r>
    </w:p>
    <w:p w:rsidRPr="00746067" w:rsidR="00DD2C49" w:rsidP="00746067" w:rsidRDefault="00DD2C49" w14:paraId="643CA2DF" w14:textId="77777777">
      <w:pPr>
        <w:jc w:val="both"/>
        <w:rPr>
          <w:b/>
          <w:bCs/>
        </w:rPr>
      </w:pPr>
      <w:r>
        <w:t>Diapositiva 5: Lean Management per la riduzione degli sprechi alimentari</w:t>
      </w:r>
    </w:p>
    <w:p w:rsidRPr="002E7405" w:rsidR="00DD2C49" w:rsidP="00746067" w:rsidRDefault="00DD2C49" w14:paraId="31A7BC12" w14:textId="154165A9">
      <w:pPr>
        <w:jc w:val="both"/>
      </w:pPr>
      <w:r>
        <w:t>Il Lean management, originariamente sviluppato per il settore manifatturiero, è applicabile anche alla ristorazione e alla gestione per ridurre gli sprechi e migliorare l'efficienza. L'approccio teorico si concentra sull'eliminazione delle attività che non aggiungono valore (muda), mentre dal punto di vista operativo si possono adottare strumenti come le Gemba Walks per identificare le inefficienze, la metodologia 5S per ottimizzare l'organizzazione dello spazio di lavoro e il sistema Kanban per la gestione delle scorte. Un esempio pratico è Chipotle, che ha standardizzato le procedure di preparazione per ridurre gli sprechi. Questa sezione è utile sia per gli studenti che per i professionisti, in quanto fornisce strumenti pratici per migliorare la gestione delle risorse nelle cucine e nella ristorazione.</w:t>
      </w:r>
    </w:p>
    <w:p w:rsidRPr="00746067" w:rsidR="00DD2C49" w:rsidP="00746067" w:rsidRDefault="00DD2C49" w14:paraId="0AE6CF3E" w14:textId="77777777">
      <w:pPr>
        <w:jc w:val="both"/>
        <w:rPr>
          <w:b/>
          <w:bCs/>
        </w:rPr>
      </w:pPr>
      <w:r>
        <w:t>Diapositiva 6: Familiarità con le migliori pratiche del settore</w:t>
      </w:r>
    </w:p>
    <w:p w:rsidRPr="002E7405" w:rsidR="00DD2C49" w:rsidP="00746067" w:rsidRDefault="00DD2C49" w14:paraId="1AA49760" w14:textId="28DABAE2">
      <w:pPr>
        <w:jc w:val="both"/>
      </w:pPr>
      <w:r>
        <w:t>Le migliori pratiche per ridurre gli sprechi alimentari si basano su un processo decisionale basato sui dati e sull'adozione di tecnologie innovative. Dal punto di vista operativo, le aziende e i ristoranti possono implementare i protocolli HACCP per la sicurezza alimentare, utilizzare sensori IoT per monitorare le condizioni di conservazione e partecipare a iniziative di settore come la Food Waste Reduction Alliance. Un esempio pratico è quello di Nestlé, che ha implementato modelli digitali dei suoi stabilimenti per ottimizzare i processi e ridurre gli sprechi. In un contesto educativo, questa sezione insegna agli studenti l'importanza della standardizzazione e dell'innovazione nella gestione degli alimenti, mentre in un contesto professionale fornisce strategie concrete per la riduzione degli sprechi e la sostenibilità.</w:t>
      </w:r>
    </w:p>
    <w:p w:rsidRPr="00746067" w:rsidR="00DD2C49" w:rsidP="00746067" w:rsidRDefault="00DD2C49" w14:paraId="375004C2" w14:textId="77777777">
      <w:pPr>
        <w:jc w:val="both"/>
        <w:rPr>
          <w:b/>
          <w:bCs/>
        </w:rPr>
      </w:pPr>
      <w:r>
        <w:t>Diapositiva 7: Analisi di casi di studio per approfondimenti pratici</w:t>
      </w:r>
    </w:p>
    <w:p w:rsidRPr="002E7405" w:rsidR="00DD2C49" w:rsidP="00746067" w:rsidRDefault="00DD2C49" w14:paraId="2E2BA039" w14:textId="3CC0D27C">
      <w:pPr>
        <w:jc w:val="both"/>
      </w:pPr>
      <w:r>
        <w:t>L'analisi dei casi di studio aiuta a ricavare spunti pratici per le strategie di riduzione dei rifiuti. Dal punto di vista operativo, le analisi dei casi di studio possono essere strutturate in categorie quali obiettivi, metodi, sfide e risultati, utilizzando strumenti come l'analisi SWOT di . Un esempio significativo è l'iniziativa "Future Foods" di Unilever, che ha utilizzato l'analisi basata sull'intelligenza artificiale per ottimizzare la catena di approvvigionamento e ridurre i rifiuti del 15%. Questa sezione è preziosa in ambito accademico per sviluppare le capacità analitiche e in ambito professionale per adattare le strategie di successo a esigenze specifiche.</w:t>
      </w:r>
    </w:p>
    <w:p w:rsidRPr="00746067" w:rsidR="00DD2C49" w:rsidP="00746067" w:rsidRDefault="00DD2C49" w14:paraId="5AAE66E0" w14:textId="77777777">
      <w:pPr>
        <w:jc w:val="both"/>
        <w:rPr>
          <w:b/>
          <w:bCs/>
        </w:rPr>
      </w:pPr>
      <w:r>
        <w:t>Diapositiva 8: Identificazione delle opportunità di riduzione dei rifiuti</w:t>
      </w:r>
    </w:p>
    <w:p w:rsidRPr="00ED0319" w:rsidR="00DD2C49" w:rsidP="00746067" w:rsidRDefault="00DD2C49" w14:paraId="6C3E2E17" w14:textId="1B375635">
      <w:pPr>
        <w:jc w:val="both"/>
      </w:pPr>
      <w:r>
        <w:t>L'identificazione delle opportunità di riduzione degli sprechi è il primo passo di una strategia efficace di gestione degli alimenti. Attraverso l'analisi delle cause profonde e la mappatura del flusso di valore, è possibile individuare le inefficienze. Un esempio pratico è quello di Panera Bread, che ha utilizzato sistemi di analisi avanzati per ridurre la sovrapproduzione del 18%. Questa sezione fornisce strumenti pratici per valutare le aree di miglioramento, utili sia per gli studenti che per i professionisti del settore.</w:t>
      </w:r>
    </w:p>
    <w:p w:rsidRPr="00746067" w:rsidR="00DD2C49" w:rsidP="00746067" w:rsidRDefault="00DD2C49" w14:paraId="287B221E" w14:textId="77777777">
      <w:pPr>
        <w:jc w:val="both"/>
        <w:rPr>
          <w:b/>
          <w:bCs/>
        </w:rPr>
      </w:pPr>
      <w:r>
        <w:t>Diapositiva 9: Implementazione delle migliori pratiche nella gestione dei rifiuti</w:t>
      </w:r>
    </w:p>
    <w:p w:rsidRPr="00ED0319" w:rsidR="00DD2C49" w:rsidP="00746067" w:rsidRDefault="00DD2C49" w14:paraId="0D85456E" w14:textId="662A4382">
      <w:pPr>
        <w:jc w:val="both"/>
      </w:pPr>
      <w:r>
        <w:t>L'adozione di pratiche consolidate di gestione dei rifiuti migliora la sostenibilità aziendale. Soluzioni come la ridistribuzione delle eccedenze alle banche alimentari e l'uso di un software avanzato per il monitoraggio delle scorte sono fondamentali. Walmart, per esempio, ha sottratto alle discariche il 78% dei suoi rifiuti attraverso iniziative di compostaggio e donazioni. Questa sezione fornisce un quadro teorico e pratico per ridurre i rifiuti e migliorare l'impatto ambientale delle aziende alimentari.</w:t>
      </w:r>
    </w:p>
    <w:p w:rsidRPr="00746067" w:rsidR="00DD2C49" w:rsidP="00746067" w:rsidRDefault="00DD2C49" w14:paraId="4CC536D8" w14:textId="77777777">
      <w:pPr>
        <w:jc w:val="both"/>
        <w:rPr>
          <w:b/>
          <w:bCs/>
        </w:rPr>
      </w:pPr>
      <w:r>
        <w:t>Diapositiva 10: Strategie di collaborazione per la riduzione degli sprechi alimentari</w:t>
      </w:r>
    </w:p>
    <w:p w:rsidRPr="00ED0319" w:rsidR="00DD2C49" w:rsidP="00746067" w:rsidRDefault="00DD2C49" w14:paraId="5DA1E2CE" w14:textId="2BACE75B">
      <w:pPr>
        <w:jc w:val="both"/>
      </w:pPr>
      <w:r>
        <w:t>La collaborazione tra reparti, fornitori e stakeholder esterni è essenziale per ridurre gli sprechi alimentari. L'approccio operativo prevede il co-sviluppo di strategie con i fornitori e l'utilizzo di tecnologie innovative come i sensori IoT. Marks &amp; Spencer, per esempio, ha implementato una tecnologia di monitoraggio della catena del freddo, riducendo il deterioramento del 10%. Questa sezione è utile per comprendere l'importanza della collaborazione sia in ambito accademico che professionale.</w:t>
      </w:r>
    </w:p>
    <w:p w:rsidRPr="00746067" w:rsidR="00DD2C49" w:rsidP="00746067" w:rsidRDefault="00DD2C49" w14:paraId="2686E3D6" w14:textId="77777777">
      <w:pPr>
        <w:jc w:val="both"/>
        <w:rPr>
          <w:b/>
          <w:bCs/>
        </w:rPr>
      </w:pPr>
      <w:r>
        <w:t>Diapositiva 11: Metodologie Lean e di miglioramento continuo</w:t>
      </w:r>
    </w:p>
    <w:p w:rsidRPr="00ED0319" w:rsidR="00DD2C49" w:rsidP="00746067" w:rsidRDefault="00DD2C49" w14:paraId="544968AB" w14:textId="2A608CCD">
      <w:pPr>
        <w:jc w:val="both"/>
      </w:pPr>
      <w:r>
        <w:t>Gli approcci Lean e di miglioramento continuo (Kaizen) sono fondamentali per ridurre gli sprechi in modo sostenibile nel tempo. A livello operativo, le aziende possono implementare eventi Kaizen per affrontare sfide specifiche, utilizzare le metodologie Six Sigma per ottimizzare i processi e standardizzare le procedure operative per garantire la coerenza. Nestlé ha applicato questi principi nelle linee di produzione degli spaghetti Maggi, riducendo gli sprechi del 20%. Questa sezione è utile a studenti e professionisti interessati alle strategie di miglioramento continuo nella gestione degli alimenti.</w:t>
      </w:r>
    </w:p>
    <w:p w:rsidRPr="00746067" w:rsidR="00DD2C49" w:rsidP="00746067" w:rsidRDefault="00DD2C49" w14:paraId="1F413F6A" w14:textId="77777777">
      <w:pPr>
        <w:jc w:val="both"/>
        <w:rPr>
          <w:b/>
          <w:bCs/>
        </w:rPr>
      </w:pPr>
      <w:r>
        <w:t>Diapositiva 12: Adattare le strategie di successo</w:t>
      </w:r>
    </w:p>
    <w:p w:rsidRPr="00ED0319" w:rsidR="00DD2C49" w:rsidP="00746067" w:rsidRDefault="00DD2C49" w14:paraId="6CF3E4BD" w14:textId="6F4D6C90">
      <w:pPr>
        <w:jc w:val="both"/>
      </w:pPr>
      <w:r>
        <w:t>Per adattare le strategie di successo occorre adattarle a contesti operativi specifici. Questo obiettivo può essere raggiunto attraverso test pilota, personalizzando le soluzioni e sviluppando cicli di feedback per perfezionare gli approcci. Starbucks ha implementato un programma globale di donazione di cibo, riducendo gli sprechi e sostenendo le comunità bisognose. Questa sezione fornisce agli studenti gli strumenti per comprendere l'adattamento delle strategie, mentre i professionisti ottengono informazioni sull'implementazione su larga scala.</w:t>
      </w:r>
    </w:p>
    <w:p w:rsidRPr="00746067" w:rsidR="00DD2C49" w:rsidP="00746067" w:rsidRDefault="00DD2C49" w14:paraId="639B0E82" w14:textId="77777777">
      <w:pPr>
        <w:jc w:val="both"/>
        <w:rPr>
          <w:b/>
          <w:bCs/>
        </w:rPr>
      </w:pPr>
      <w:r>
        <w:t>Diapositiva 13: Sviluppo delle competenze per soluzioni innovative</w:t>
      </w:r>
    </w:p>
    <w:p w:rsidRPr="00ED0319" w:rsidR="00DD2C49" w:rsidP="00746067" w:rsidRDefault="00DD2C49" w14:paraId="66DB8AAB" w14:textId="399B64C9">
      <w:pPr>
        <w:jc w:val="both"/>
      </w:pPr>
      <w:r>
        <w:t>Lo sviluppo di competenze per la riduzione degli sprechi alimentari si concentra sulla promozione del pensiero critico, delle competenze tecniche e della collaborazione. Le aziende possono implementare programmi di formazione mirati, organizzare workshop per la risoluzione dei problemi e creare iniziative di mentorship per condividere le migliori pratiche. Marriott International ha formato i suoi chef sul controllo delle porzioni e sulle tecniche di riduzione degli sprechi, che hanno portato a una riduzione del 15% dei rifiuti alimentari. Questa sezione è essenziale per gli studenti e i professionisti che vogliono sviluppare competenze pratiche per l'innovazione.</w:t>
      </w:r>
    </w:p>
    <w:p w:rsidRPr="00746067" w:rsidR="00DD2C49" w:rsidP="00746067" w:rsidRDefault="00DD2C49" w14:paraId="0F63A7CD" w14:textId="77777777">
      <w:pPr>
        <w:jc w:val="both"/>
        <w:rPr>
          <w:b/>
          <w:bCs/>
        </w:rPr>
      </w:pPr>
      <w:r>
        <w:t>Diapositiva 14: Motivare i team per un progresso collettivo</w:t>
      </w:r>
    </w:p>
    <w:p w:rsidRPr="00ED0319" w:rsidR="00DD2C49" w:rsidP="00746067" w:rsidRDefault="00DD2C49" w14:paraId="2F2DF9C0" w14:textId="6AF0BFC6">
      <w:pPr>
        <w:jc w:val="both"/>
      </w:pPr>
      <w:r>
        <w:t>La motivazione del team è fondamentale per il successo delle strategie di riduzione degli sprechi alimentari. Le aziende possono adottare programmi di riconoscimento, organizzare forum per condividere successi e sfide e integrare la sostenibilità negli obiettivi di performance. Google ha introdotto un'iniziativa di competizione interna che ha portato a una riduzione del 30% dei rifiuti. Questa sezione fornisce indicazioni su come coinvolgere e motivare il personale a migliorare le pratiche aziendali.</w:t>
      </w:r>
    </w:p>
    <w:p w:rsidRPr="00746067" w:rsidR="00DD2C49" w:rsidP="00746067" w:rsidRDefault="00DD2C49" w14:paraId="11D2F785" w14:textId="77777777">
      <w:pPr>
        <w:jc w:val="both"/>
        <w:rPr>
          <w:b/>
          <w:bCs/>
        </w:rPr>
      </w:pPr>
      <w:r>
        <w:t>Diapositiva 15: Condividere le conoscenze nel settore</w:t>
      </w:r>
    </w:p>
    <w:p w:rsidRPr="00ED0319" w:rsidR="00DD2C49" w:rsidP="00746067" w:rsidRDefault="00DD2C49" w14:paraId="57B3B4DB" w14:textId="7F46B52B">
      <w:pPr>
        <w:jc w:val="both"/>
      </w:pPr>
      <w:r>
        <w:t>La condivisione delle conoscenze e delle migliori pratiche amplifica l'impatto delle strategie di riduzione dei rifiuti. La partecipazione a conferenze, la pubblicazione di studi di settore e la collaborazione con istituzioni accademiche contribuiscono a diffondere soluzioni efficaci. La Ellen MacArthur Foundation collabora con aziende di tutto il mondo per promuovere strategie di economia circolare. Questa sezione aiuta gli studenti a comprendere il valore della condivisione delle conoscenze e offre ai professionisti idee per collaborazioni strategiche.</w:t>
      </w:r>
    </w:p>
    <w:p w:rsidRPr="00746067" w:rsidR="00DD2C49" w:rsidP="00746067" w:rsidRDefault="00DD2C49" w14:paraId="242E0BE1" w14:textId="77777777">
      <w:pPr>
        <w:jc w:val="both"/>
        <w:rPr>
          <w:b/>
          <w:bCs/>
        </w:rPr>
      </w:pPr>
      <w:r>
        <w:t>Diapositiva 16: Sfruttare i dati analitici per il monitoraggio degli sprechi alimentari</w:t>
      </w:r>
    </w:p>
    <w:p w:rsidRPr="00ED0319" w:rsidR="00DD2C49" w:rsidP="00746067" w:rsidRDefault="00DD2C49" w14:paraId="7B898118" w14:textId="00614367">
      <w:pPr>
        <w:jc w:val="both"/>
      </w:pPr>
      <w:r>
        <w:t>L'analisi dei dati è uno strumento potente per monitorare e prevenire gli sprechi alimentari. Le aziende possono utilizzare software di tracciamento, analisi predittiva e dashboard digitali per identificare le aree critiche. Winnow Solutions ha implementato sistemi di intelligenza artificiale in ristoranti di lusso, riducendo gli sprechi del 50% in due anni. Questa sezione introduce gli studenti all'analisi dei dati per la gestione dei rifiuti e offre ai professionisti strategie per ottimizzare le risorse.</w:t>
      </w:r>
    </w:p>
    <w:p w:rsidRPr="00746067" w:rsidR="00DD2C49" w:rsidP="00746067" w:rsidRDefault="00DD2C49" w14:paraId="652A7F0F" w14:textId="77777777">
      <w:pPr>
        <w:jc w:val="both"/>
        <w:rPr>
          <w:b/>
          <w:bCs/>
        </w:rPr>
      </w:pPr>
      <w:r>
        <w:t>Diapositiva 17: Miglioramento continuo per la sostenibilità a lungo termine</w:t>
      </w:r>
    </w:p>
    <w:p w:rsidRPr="00ED0319" w:rsidR="00DD2C49" w:rsidP="00746067" w:rsidRDefault="00DD2C49" w14:paraId="41DFB5B4" w14:textId="37EC4784">
      <w:pPr>
        <w:jc w:val="both"/>
      </w:pPr>
      <w:r>
        <w:t>Il miglioramento continuo è un pilastro della sostenibilità a lungo termine nella riduzione dei rifiuti alimentari. Le aziende possono adottare cicli di revisione regolari, raccogliere il feedback degli stakeholder e confrontare le prestazioni con gli standard del settore. Sainsbury's ha ridotto i rifiuti del 35% in cinque anni grazie a miglioramenti iterativi della catena di approvvigionamento. Questa sezione fornisce un approccio strutturato per garantire la sostenibilità nel tempo.</w:t>
      </w:r>
    </w:p>
    <w:p w:rsidRPr="00746067" w:rsidR="00DD2C49" w:rsidP="00746067" w:rsidRDefault="00DD2C49" w14:paraId="3E4A8BD7" w14:textId="77777777">
      <w:pPr>
        <w:jc w:val="both"/>
        <w:rPr>
          <w:b/>
          <w:bCs/>
        </w:rPr>
      </w:pPr>
      <w:r>
        <w:t>Diapositiva 18: Coinvolgimento della comunità nella riduzione dei rifiuti</w:t>
      </w:r>
    </w:p>
    <w:p w:rsidRPr="00ED0319" w:rsidR="00DD2C49" w:rsidP="00746067" w:rsidRDefault="00DD2C49" w14:paraId="4E092A71" w14:textId="1C2E83B6">
      <w:pPr>
        <w:jc w:val="both"/>
      </w:pPr>
      <w:r>
        <w:t>Coinvolgere le comunità locali in iniziative di riduzione dei rifiuti garantisce un impatto e una consapevolezza maggiori. Le aziende possono collaborare con enti di beneficenza, organizzare workshop educativi e sostenere progetti di compostaggio. Whole Foods Market ha donato oltre 36 milioni di chili di cibo alle banche alimentari, affrontando il problema dell'insicurezza alimentare. Questa sezione mostra a studenti e professionisti come integrare le comunità nelle strategie di riduzione dei rifiuti.</w:t>
      </w:r>
    </w:p>
    <w:p w:rsidRPr="00746067" w:rsidR="00DD2C49" w:rsidP="00746067" w:rsidRDefault="00DD2C49" w14:paraId="50AE220B" w14:textId="77777777">
      <w:pPr>
        <w:jc w:val="both"/>
        <w:rPr>
          <w:b/>
          <w:bCs/>
        </w:rPr>
      </w:pPr>
      <w:r>
        <w:t>Diapositiva 19: Incorporare la riduzione degli sprechi alimentari nella politica aziendale</w:t>
      </w:r>
    </w:p>
    <w:p w:rsidRPr="00ED0319" w:rsidR="00DD2C49" w:rsidP="00746067" w:rsidRDefault="00DD2C49" w14:paraId="5B9F3E1A" w14:textId="1C876122">
      <w:pPr>
        <w:jc w:val="both"/>
      </w:pPr>
      <w:r>
        <w:t>L'integrazione della riduzione dei rifiuti alimentari nelle politiche aziendali richiede obiettivi chiari, sistemi di monitoraggio e l'impegno della leadership. Danone ha ridotto i rifiuti del 50% nelle sue attività europee grazie a politiche aziendali sostenibili. Questa sezione fornisce ai professionisti le strategie per integrare la riduzione dei rifiuti nella governance aziendale.</w:t>
      </w:r>
    </w:p>
    <w:p w:rsidRPr="00746067" w:rsidR="00DD2C49" w:rsidP="00746067" w:rsidRDefault="00DD2C49" w14:paraId="071E60B6" w14:textId="77777777">
      <w:pPr>
        <w:jc w:val="both"/>
        <w:rPr>
          <w:b/>
          <w:bCs/>
        </w:rPr>
      </w:pPr>
      <w:r>
        <w:t>Diapositiva 20: Adottare i principi dell'economia circolare</w:t>
      </w:r>
    </w:p>
    <w:p w:rsidRPr="00ED0319" w:rsidR="00DD2C49" w:rsidP="00746067" w:rsidRDefault="00DD2C49" w14:paraId="0CE23C2D" w14:textId="4FCC9ABC">
      <w:pPr>
        <w:jc w:val="both"/>
      </w:pPr>
      <w:r>
        <w:t>L'economia circolare mira a ridurre al minimo gli sprechi, a mantenere le risorse in uso e a rigenerare i sistemi naturali. Le aziende possono progettare menu che riducono gli eccessi, implementare sistemi di riciclaggio a ciclo chiuso e collaborare con i fornitori per soluzioni di imballaggio sostenibili. McCain Foods utilizza le bucce di patate per generare bioenergia, riducendo i costi e l'impatto ambientale. Questa sezione introduce gli studenti alla circolarità e fornisce ai professionisti idee di implementazione.</w:t>
      </w:r>
    </w:p>
    <w:p w:rsidRPr="00746067" w:rsidR="00DD2C49" w:rsidP="00746067" w:rsidRDefault="00DD2C49" w14:paraId="5E2B483D" w14:textId="77777777">
      <w:pPr>
        <w:jc w:val="both"/>
        <w:rPr>
          <w:b/>
          <w:bCs/>
        </w:rPr>
      </w:pPr>
      <w:r>
        <w:t>Diapositiva 21: Scalare le innovazioni nella gestione dei rifiuti alimentari</w:t>
      </w:r>
    </w:p>
    <w:p w:rsidRPr="00737CC8" w:rsidR="00DD2C49" w:rsidP="00746067" w:rsidRDefault="00DD2C49" w14:paraId="3D7F2759" w14:textId="77777777">
      <w:pPr>
        <w:jc w:val="both"/>
      </w:pPr>
      <w:r>
        <w:t>La scalabilità delle tecnologie innovative aumenta l'impatto delle strategie di gestione dei rifiuti. IoT, blockchain e AI ottimizzano l'inventario e la conservazione degli alimenti. Walmart ha implementato la blockchain per tracciare la sua catena di approvvigionamento e ridurre gli sprechi alimentari. Questa sezione esplora le tecnologie emergenti per la gestione dei rifiuti.</w:t>
      </w:r>
    </w:p>
    <w:p w:rsidRPr="00746067" w:rsidR="00DD2C49" w:rsidP="00746067" w:rsidRDefault="00DD2C49" w14:paraId="18AAD4E9" w14:textId="77777777">
      <w:pPr>
        <w:jc w:val="both"/>
        <w:rPr>
          <w:b/>
          <w:bCs/>
        </w:rPr>
      </w:pPr>
      <w:r>
        <w:t>Diapositiva 22: Misurazione e rendicontazione dei progressi</w:t>
      </w:r>
    </w:p>
    <w:p w:rsidRPr="00A76FE2" w:rsidR="00737CC8" w:rsidP="00746067" w:rsidRDefault="00DD2C49" w14:paraId="5F18910A" w14:textId="0CA7F23B">
      <w:pPr>
        <w:jc w:val="both"/>
      </w:pPr>
      <w:r>
        <w:t>Il monitoraggio e la rendicontazione dei progressi nella riduzione dei rifiuti sono essenziali per la trasparenza e il miglioramento continuo. Le aziende possono stabilire KPI, utilizzare dashboard digitali e pubblicare rapporti annuali sulla sostenibilità. Questa sezione fornisce strumenti per quantificare i risultati e dimostrare l'impatto delle strategie di riduzione dei rifiuti.</w:t>
      </w:r>
    </w:p>
    <w:p w:rsidRPr="00746067" w:rsidR="00DD2C49" w:rsidP="00746067" w:rsidRDefault="00DD2C49" w14:paraId="172AD766" w14:textId="77777777">
      <w:pPr>
        <w:jc w:val="both"/>
        <w:rPr>
          <w:b/>
          <w:bCs/>
        </w:rPr>
      </w:pPr>
      <w:r>
        <w:t>Diapositiva 23: Direzioni future nella riduzione degli sprechi alimentari</w:t>
      </w:r>
    </w:p>
    <w:p w:rsidRPr="00BB76DE" w:rsidR="00D1547A" w:rsidP="00BB76DE" w:rsidRDefault="00DD2C49" w14:paraId="793D42DF" w14:textId="72CF4EB4">
      <w:pPr>
        <w:jc w:val="both"/>
        <w:rPr>
          <w:lang w:val="en-US"/>
        </w:rPr>
      </w:pPr>
      <w:r>
        <w:t>Il futuro della riduzione dei rifiuti alimentari risiede nell'innovazione tecnologica e nella collaborazione globale. La previsione dei rifiuti basata sull'intelligenza artificiale, l'agricoltura rigenerativa e le alleanze internazionali sono la chiave per un futuro a rifiuti zero. L'iniziativa YieldWise della Fondazione Rockefeller ha salvato milioni di tonnellate di cibo in Africa. Questa sezione esplora le prospettive future per studenti e professionisti.</w:t>
      </w:r>
    </w:p>
    <w:p w:rsidR="00B51A49" w:rsidP="00B51A49" w:rsidRDefault="00B51A49" w14:paraId="3C0E6A6E" w14:textId="4436FD22">
      <w:pPr>
        <w:jc w:val="both"/>
        <w:rPr>
          <w:b/>
          <w:bCs/>
        </w:rPr>
      </w:pPr>
      <w:r>
        <w:t>Diapositiva 24: grazie!</w:t>
      </w:r>
    </w:p>
    <w:p w:rsidRPr="00B51A49" w:rsidR="00EE3298" w:rsidP="00B51A49" w:rsidRDefault="00EE3298" w14:paraId="2EE94D04" w14:textId="19C9E556">
      <w:pPr>
        <w:jc w:val="both"/>
        <w:rPr>
          <w:b/>
          <w:bCs/>
        </w:rPr>
      </w:pPr>
      <w:r>
        <w:t>Grazie per aver partecipato a questa sessione. Ridurre gli sprechi alimentari a livello di produzione non significa solo salvare il cibo, ma anche riformare i sistemi, le abitudini e le priorità. Combinando innovazione, collaborazione e impegno per la sostenibilità, possiamo trasformare i rifiuti di oggi in risorse di domani. Continuiamo ad andare avanti, una soluzione intelligente alla volta.</w:t>
      </w:r>
    </w:p>
    <w:sectPr w:rsidRPr="00B51A49" w:rsidR="00EE32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E6ED0"/>
    <w:multiLevelType w:val="multilevel"/>
    <w:tmpl w:val="BE8229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EB85886"/>
    <w:multiLevelType w:val="multilevel"/>
    <w:tmpl w:val="A82AD9A8"/>
    <w:lvl w:ilvl="0">
      <w:start w:val="1"/>
      <w:numFmt w:val="decimal"/>
      <w:pStyle w:val="PL-TITOLO1"/>
      <w:lvlText w:val="%1"/>
      <w:lvlJc w:val="left"/>
      <w:pPr>
        <w:ind w:left="360" w:hanging="360"/>
      </w:pPr>
    </w:lvl>
    <w:lvl w:ilvl="1">
      <w:start w:val="1"/>
      <w:numFmt w:val="decimal"/>
      <w:lvlText w:val="%1.%2"/>
      <w:lvlJc w:val="left"/>
      <w:pPr>
        <w:ind w:left="1212" w:hanging="360"/>
      </w:pPr>
      <w:rPr>
        <w:rFonts w:ascii="Calibri Light" w:hAnsi="Calibri Light" w:cs="Times New Roman" w:hint="default"/>
        <w:b/>
        <w:bCs w:val="0"/>
        <w:i w:val="0"/>
        <w:iCs w:val="0"/>
        <w:caps w:val="0"/>
        <w:smallCaps w:val="0"/>
        <w:strike w:val="0"/>
        <w:dstrike w:val="0"/>
        <w:noProof w:val="0"/>
        <w:vanish w:val="0"/>
        <w:webHidden w:val="0"/>
        <w:color w:val="auto"/>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996" w:hanging="720"/>
      </w:pPr>
      <w:rPr>
        <w:b/>
        <w:bCs w:val="0"/>
        <w:i w:val="0"/>
        <w:iCs w:val="0"/>
        <w:caps w:val="0"/>
        <w:smallCaps w:val="0"/>
        <w:strike w:val="0"/>
        <w:dstrike w:val="0"/>
        <w:noProof w:val="0"/>
        <w:vanish w:val="0"/>
        <w:webHidden w:val="0"/>
        <w:color w:val="auto"/>
        <w:spacing w:val="0"/>
        <w:kern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1257" w:hanging="720"/>
      </w:pPr>
    </w:lvl>
    <w:lvl w:ilvl="4">
      <w:start w:val="1"/>
      <w:numFmt w:val="decimal"/>
      <w:lvlText w:val="%1.%2.%3.%4.%5"/>
      <w:lvlJc w:val="left"/>
      <w:pPr>
        <w:ind w:left="12621" w:hanging="720"/>
      </w:pPr>
    </w:lvl>
    <w:lvl w:ilvl="5">
      <w:start w:val="1"/>
      <w:numFmt w:val="decimal"/>
      <w:lvlText w:val="%1.%2.%3.%4.%5.%6"/>
      <w:lvlJc w:val="left"/>
      <w:pPr>
        <w:ind w:left="14345" w:hanging="1080"/>
      </w:pPr>
    </w:lvl>
    <w:lvl w:ilvl="6">
      <w:start w:val="1"/>
      <w:numFmt w:val="decimal"/>
      <w:lvlText w:val="%1.%2.%3.%4.%5.%6.%7"/>
      <w:lvlJc w:val="left"/>
      <w:pPr>
        <w:ind w:left="15709" w:hanging="1080"/>
      </w:pPr>
    </w:lvl>
    <w:lvl w:ilvl="7">
      <w:start w:val="1"/>
      <w:numFmt w:val="decimal"/>
      <w:lvlText w:val="%1.%2.%3.%4.%5.%6.%7.%8"/>
      <w:lvlJc w:val="left"/>
      <w:pPr>
        <w:ind w:left="17433" w:hanging="1440"/>
      </w:pPr>
    </w:lvl>
    <w:lvl w:ilvl="8">
      <w:start w:val="1"/>
      <w:numFmt w:val="decimal"/>
      <w:lvlText w:val="%1.%2.%3.%4.%5.%6.%7.%8.%9"/>
      <w:lvlJc w:val="left"/>
      <w:pPr>
        <w:ind w:left="18797" w:hanging="1440"/>
      </w:pPr>
    </w:lvl>
  </w:abstractNum>
  <w:abstractNum w:abstractNumId="2">
    <w:nsid w:val="5587620F"/>
    <w:multiLevelType w:val="multilevel"/>
    <w:tmpl w:val="53902A6C"/>
    <w:lvl w:ilvl="0">
      <w:start w:val="1"/>
      <w:numFmt w:val="decimal"/>
      <w:lvlText w:val="%1."/>
      <w:lvlJc w:val="left"/>
      <w:pPr>
        <w:tabs>
          <w:tab w:val="num" w:pos="720"/>
        </w:tabs>
        <w:ind w:left="720" w:hanging="720"/>
      </w:pPr>
    </w:lvl>
    <w:lvl w:ilvl="1">
      <w:start w:val="1"/>
      <w:numFmt w:val="decimal"/>
      <w:pStyle w:val="PL-TITO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6E8"/>
    <w:rsid w:val="000A0DCE"/>
    <w:rsid w:val="001111BE"/>
    <w:rsid w:val="00203A43"/>
    <w:rsid w:val="002041DC"/>
    <w:rsid w:val="0021752E"/>
    <w:rsid w:val="002573B5"/>
    <w:rsid w:val="002E7405"/>
    <w:rsid w:val="003306AC"/>
    <w:rsid w:val="00382979"/>
    <w:rsid w:val="003A06E8"/>
    <w:rsid w:val="00497B7E"/>
    <w:rsid w:val="0054041B"/>
    <w:rsid w:val="0056767E"/>
    <w:rsid w:val="006B6853"/>
    <w:rsid w:val="00737CC8"/>
    <w:rsid w:val="00746067"/>
    <w:rsid w:val="00803C9E"/>
    <w:rsid w:val="00910A51"/>
    <w:rsid w:val="00937031"/>
    <w:rsid w:val="00A76FE2"/>
    <w:rsid w:val="00AE6321"/>
    <w:rsid w:val="00B426D5"/>
    <w:rsid w:val="00B51A49"/>
    <w:rsid w:val="00BA4CEF"/>
    <w:rsid w:val="00BB76DE"/>
    <w:rsid w:val="00C31307"/>
    <w:rsid w:val="00CD16AE"/>
    <w:rsid w:val="00D039B5"/>
    <w:rsid w:val="00D1547A"/>
    <w:rsid w:val="00DC5724"/>
    <w:rsid w:val="00DD2C49"/>
    <w:rsid w:val="00E379D1"/>
    <w:rsid w:val="00E96896"/>
    <w:rsid w:val="00ED0319"/>
    <w:rsid w:val="00EE3298"/>
    <w:rsid w:val="00FB1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3A06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A06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A06E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A06E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A06E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A06E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A06E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A06E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A06E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L-TITOLO1">
    <w:name w:val="PL- TITOLO1"/>
    <w:basedOn w:val="Akapitzlist"/>
    <w:link w:val="PL-TITOLO1Carattere"/>
    <w:autoRedefine/>
    <w:qFormat/>
    <w:rsid w:val="00803C9E"/>
    <w:pPr>
      <w:numPr>
        <w:numId w:val="5"/>
      </w:numPr>
      <w:shd w:val="clear" w:color="auto" w:fill="323E4F" w:themeFill="text2" w:themeFillShade="BF"/>
      <w:spacing w:after="200" w:line="276" w:lineRule="auto"/>
      <w:outlineLvl w:val="0"/>
    </w:pPr>
    <w:rPr>
      <w:rFonts w:ascii="Times New Roman" w:eastAsia="Times New Roman" w:hAnsi="Times New Roman" w:cs="Times New Roman"/>
      <w:b/>
      <w:caps/>
      <w:color w:val="FFFFFF" w:themeColor="background1"/>
      <w:sz w:val="24"/>
      <w:szCs w:val="24"/>
      <w:lang w:val="it-IT" w:eastAsia="en-GB"/>
    </w:rPr>
  </w:style>
  <w:style w:type="character" w:customStyle="1" w:styleId="PL-TITOLO1Carattere">
    <w:name w:val="PL- TITOLO1 Carattere"/>
    <w:basedOn w:val="Domylnaczcionkaakapitu"/>
    <w:link w:val="PL-TITOLO1"/>
    <w:locked/>
    <w:rsid w:val="00937031"/>
    <w:rPr>
      <w:rFonts w:ascii="Times New Roman" w:eastAsia="Times New Roman" w:hAnsi="Times New Roman" w:cs="Times New Roman"/>
      <w:b/>
      <w:caps/>
      <w:color w:val="FFFFFF" w:themeColor="background1"/>
      <w:sz w:val="24"/>
      <w:szCs w:val="24"/>
      <w:shd w:val="clear" w:color="auto" w:fill="323E4F" w:themeFill="text2" w:themeFillShade="BF"/>
      <w:lang w:eastAsia="en-GB"/>
    </w:rPr>
  </w:style>
  <w:style w:type="paragraph" w:styleId="Akapitzlist">
    <w:name w:val="List Paragraph"/>
    <w:basedOn w:val="Normalny"/>
    <w:uiPriority w:val="34"/>
    <w:qFormat/>
    <w:rsid w:val="00937031"/>
    <w:pPr>
      <w:ind w:left="720"/>
      <w:contextualSpacing/>
    </w:pPr>
  </w:style>
  <w:style w:type="paragraph" w:customStyle="1" w:styleId="PL-TITOLO2">
    <w:name w:val="PL-TITOLO2"/>
    <w:basedOn w:val="Akapitzlist"/>
    <w:link w:val="PL-TITOLO2Carattere"/>
    <w:autoRedefine/>
    <w:qFormat/>
    <w:rsid w:val="00803C9E"/>
    <w:pPr>
      <w:numPr>
        <w:ilvl w:val="1"/>
        <w:numId w:val="6"/>
      </w:numPr>
      <w:pBdr>
        <w:top w:val="single" w:sz="4" w:space="1" w:color="auto"/>
        <w:left w:val="single" w:sz="4" w:space="4" w:color="auto"/>
        <w:bottom w:val="single" w:sz="4" w:space="0" w:color="auto"/>
        <w:right w:val="single" w:sz="4" w:space="4" w:color="auto"/>
      </w:pBdr>
      <w:shd w:val="clear" w:color="auto" w:fill="B4D4D3"/>
      <w:spacing w:before="120" w:after="120" w:line="240" w:lineRule="auto"/>
      <w:ind w:left="1212" w:hanging="360"/>
      <w:jc w:val="both"/>
      <w:outlineLvl w:val="1"/>
    </w:pPr>
    <w:rPr>
      <w:rFonts w:ascii="Segoe UI" w:hAnsi="Segoe UI"/>
      <w:b/>
      <w:sz w:val="24"/>
      <w:lang w:val="it-IT"/>
    </w:rPr>
  </w:style>
  <w:style w:type="character" w:customStyle="1" w:styleId="PL-TITOLO2Carattere">
    <w:name w:val="PL-TITOLO2 Carattere"/>
    <w:link w:val="PL-TITOLO2"/>
    <w:locked/>
    <w:rsid w:val="00803C9E"/>
    <w:rPr>
      <w:rFonts w:ascii="Segoe UI" w:hAnsi="Segoe UI"/>
      <w:b/>
      <w:sz w:val="24"/>
      <w:shd w:val="clear" w:color="auto" w:fill="B4D4D3"/>
    </w:rPr>
  </w:style>
  <w:style w:type="table" w:customStyle="1" w:styleId="AMUSE01">
    <w:name w:val="AMUSE 01"/>
    <w:basedOn w:val="Standardowy"/>
    <w:uiPriority w:val="99"/>
    <w:rsid w:val="0054041B"/>
    <w:pPr>
      <w:spacing w:after="0" w:line="240" w:lineRule="auto"/>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solid" w:color="auto" w:fill="B4C6E7" w:themeFill="accent1" w:themeFillTint="66"/>
    </w:tcPr>
    <w:tblStylePr w:type="firstRow">
      <w:tblPr/>
      <w:tcPr>
        <w:shd w:val="clear" w:color="auto" w:fill="1F3864" w:themeFill="accent1" w:themeFillShade="80"/>
      </w:tcPr>
    </w:tblStylePr>
    <w:tblStylePr w:type="firstCol">
      <w:tblPr/>
      <w:tcPr>
        <w:shd w:val="clear" w:color="auto" w:fill="BDD6EE" w:themeFill="accent5" w:themeFillTint="66"/>
      </w:tcPr>
    </w:tblStylePr>
    <w:tblStylePr w:type="band1Horz">
      <w:tblPr/>
      <w:tcPr>
        <w:shd w:val="clear" w:color="auto" w:fill="DEEAF6" w:themeFill="accent5" w:themeFillTint="33"/>
      </w:tcPr>
    </w:tblStylePr>
    <w:tblStylePr w:type="band2Horz">
      <w:tblPr/>
      <w:tcPr>
        <w:shd w:val="clear" w:color="auto" w:fill="ACB9CA" w:themeFill="text2" w:themeFillTint="66"/>
      </w:tcPr>
    </w:tblStylePr>
  </w:style>
  <w:style w:type="character" w:customStyle="1" w:styleId="Nagwek1Znak">
    <w:name w:val="Nagłówek 1 Znak"/>
    <w:basedOn w:val="Domylnaczcionkaakapitu"/>
    <w:link w:val="Nagwek1"/>
    <w:uiPriority w:val="9"/>
    <w:rsid w:val="003A06E8"/>
    <w:rPr>
      <w:rFonts w:asciiTheme="majorHAnsi" w:eastAsiaTheme="majorEastAsia" w:hAnsiTheme="majorHAnsi" w:cstheme="majorBidi"/>
      <w:color w:val="2F5496" w:themeColor="accent1" w:themeShade="BF"/>
      <w:sz w:val="40"/>
      <w:szCs w:val="40"/>
      <w:lang w:val="en-GB"/>
    </w:rPr>
  </w:style>
  <w:style w:type="character" w:customStyle="1" w:styleId="Nagwek2Znak">
    <w:name w:val="Nagłówek 2 Znak"/>
    <w:basedOn w:val="Domylnaczcionkaakapitu"/>
    <w:link w:val="Nagwek2"/>
    <w:uiPriority w:val="9"/>
    <w:semiHidden/>
    <w:rsid w:val="003A06E8"/>
    <w:rPr>
      <w:rFonts w:asciiTheme="majorHAnsi" w:eastAsiaTheme="majorEastAsia" w:hAnsiTheme="majorHAnsi" w:cstheme="majorBidi"/>
      <w:color w:val="2F5496" w:themeColor="accent1" w:themeShade="BF"/>
      <w:sz w:val="32"/>
      <w:szCs w:val="32"/>
      <w:lang w:val="en-GB"/>
    </w:rPr>
  </w:style>
  <w:style w:type="character" w:customStyle="1" w:styleId="Nagwek3Znak">
    <w:name w:val="Nagłówek 3 Znak"/>
    <w:basedOn w:val="Domylnaczcionkaakapitu"/>
    <w:link w:val="Nagwek3"/>
    <w:uiPriority w:val="9"/>
    <w:semiHidden/>
    <w:rsid w:val="003A06E8"/>
    <w:rPr>
      <w:rFonts w:eastAsiaTheme="majorEastAsia" w:cstheme="majorBidi"/>
      <w:color w:val="2F5496" w:themeColor="accent1" w:themeShade="BF"/>
      <w:sz w:val="28"/>
      <w:szCs w:val="28"/>
      <w:lang w:val="en-GB"/>
    </w:rPr>
  </w:style>
  <w:style w:type="character" w:customStyle="1" w:styleId="Nagwek4Znak">
    <w:name w:val="Nagłówek 4 Znak"/>
    <w:basedOn w:val="Domylnaczcionkaakapitu"/>
    <w:link w:val="Nagwek4"/>
    <w:uiPriority w:val="9"/>
    <w:semiHidden/>
    <w:rsid w:val="003A06E8"/>
    <w:rPr>
      <w:rFonts w:eastAsiaTheme="majorEastAsia" w:cstheme="majorBidi"/>
      <w:i/>
      <w:iCs/>
      <w:color w:val="2F5496" w:themeColor="accent1" w:themeShade="BF"/>
      <w:lang w:val="en-GB"/>
    </w:rPr>
  </w:style>
  <w:style w:type="character" w:customStyle="1" w:styleId="Nagwek5Znak">
    <w:name w:val="Nagłówek 5 Znak"/>
    <w:basedOn w:val="Domylnaczcionkaakapitu"/>
    <w:link w:val="Nagwek5"/>
    <w:uiPriority w:val="9"/>
    <w:semiHidden/>
    <w:rsid w:val="003A06E8"/>
    <w:rPr>
      <w:rFonts w:eastAsiaTheme="majorEastAsia" w:cstheme="majorBidi"/>
      <w:color w:val="2F5496" w:themeColor="accent1" w:themeShade="BF"/>
      <w:lang w:val="en-GB"/>
    </w:rPr>
  </w:style>
  <w:style w:type="character" w:customStyle="1" w:styleId="Nagwek6Znak">
    <w:name w:val="Nagłówek 6 Znak"/>
    <w:basedOn w:val="Domylnaczcionkaakapitu"/>
    <w:link w:val="Nagwek6"/>
    <w:uiPriority w:val="9"/>
    <w:semiHidden/>
    <w:rsid w:val="003A06E8"/>
    <w:rPr>
      <w:rFonts w:eastAsiaTheme="majorEastAsia" w:cstheme="majorBidi"/>
      <w:i/>
      <w:iCs/>
      <w:color w:val="595959" w:themeColor="text1" w:themeTint="A6"/>
      <w:lang w:val="en-GB"/>
    </w:rPr>
  </w:style>
  <w:style w:type="character" w:customStyle="1" w:styleId="Nagwek7Znak">
    <w:name w:val="Nagłówek 7 Znak"/>
    <w:basedOn w:val="Domylnaczcionkaakapitu"/>
    <w:link w:val="Nagwek7"/>
    <w:uiPriority w:val="9"/>
    <w:semiHidden/>
    <w:rsid w:val="003A06E8"/>
    <w:rPr>
      <w:rFonts w:eastAsiaTheme="majorEastAsia" w:cstheme="majorBidi"/>
      <w:color w:val="595959" w:themeColor="text1" w:themeTint="A6"/>
      <w:lang w:val="en-GB"/>
    </w:rPr>
  </w:style>
  <w:style w:type="character" w:customStyle="1" w:styleId="Nagwek8Znak">
    <w:name w:val="Nagłówek 8 Znak"/>
    <w:basedOn w:val="Domylnaczcionkaakapitu"/>
    <w:link w:val="Nagwek8"/>
    <w:uiPriority w:val="9"/>
    <w:semiHidden/>
    <w:rsid w:val="003A06E8"/>
    <w:rPr>
      <w:rFonts w:eastAsiaTheme="majorEastAsia" w:cstheme="majorBidi"/>
      <w:i/>
      <w:iCs/>
      <w:color w:val="272727" w:themeColor="text1" w:themeTint="D8"/>
      <w:lang w:val="en-GB"/>
    </w:rPr>
  </w:style>
  <w:style w:type="character" w:customStyle="1" w:styleId="Nagwek9Znak">
    <w:name w:val="Nagłówek 9 Znak"/>
    <w:basedOn w:val="Domylnaczcionkaakapitu"/>
    <w:link w:val="Nagwek9"/>
    <w:uiPriority w:val="9"/>
    <w:semiHidden/>
    <w:rsid w:val="003A06E8"/>
    <w:rPr>
      <w:rFonts w:eastAsiaTheme="majorEastAsia" w:cstheme="majorBidi"/>
      <w:color w:val="272727" w:themeColor="text1" w:themeTint="D8"/>
      <w:lang w:val="en-GB"/>
    </w:rPr>
  </w:style>
  <w:style w:type="paragraph" w:styleId="Tytu">
    <w:name w:val="Title"/>
    <w:basedOn w:val="Normalny"/>
    <w:next w:val="Normalny"/>
    <w:link w:val="TytuZnak"/>
    <w:uiPriority w:val="10"/>
    <w:qFormat/>
    <w:rsid w:val="003A0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A06E8"/>
    <w:rPr>
      <w:rFonts w:asciiTheme="majorHAnsi" w:eastAsiaTheme="majorEastAsia" w:hAnsiTheme="majorHAnsi" w:cstheme="majorBidi"/>
      <w:spacing w:val="-10"/>
      <w:kern w:val="28"/>
      <w:sz w:val="56"/>
      <w:szCs w:val="56"/>
      <w:lang w:val="en-GB"/>
    </w:rPr>
  </w:style>
  <w:style w:type="paragraph" w:styleId="Podtytu">
    <w:name w:val="Subtitle"/>
    <w:basedOn w:val="Normalny"/>
    <w:next w:val="Normalny"/>
    <w:link w:val="PodtytuZnak"/>
    <w:uiPriority w:val="11"/>
    <w:qFormat/>
    <w:rsid w:val="003A06E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A06E8"/>
    <w:rPr>
      <w:rFonts w:eastAsiaTheme="majorEastAsia" w:cstheme="majorBidi"/>
      <w:color w:val="595959" w:themeColor="text1" w:themeTint="A6"/>
      <w:spacing w:val="15"/>
      <w:sz w:val="28"/>
      <w:szCs w:val="28"/>
      <w:lang w:val="en-GB"/>
    </w:rPr>
  </w:style>
  <w:style w:type="paragraph" w:styleId="Cytat">
    <w:name w:val="Quote"/>
    <w:basedOn w:val="Normalny"/>
    <w:next w:val="Normalny"/>
    <w:link w:val="CytatZnak"/>
    <w:uiPriority w:val="29"/>
    <w:qFormat/>
    <w:rsid w:val="003A06E8"/>
    <w:pPr>
      <w:spacing w:before="160"/>
      <w:jc w:val="center"/>
    </w:pPr>
    <w:rPr>
      <w:i/>
      <w:iCs/>
      <w:color w:val="404040" w:themeColor="text1" w:themeTint="BF"/>
    </w:rPr>
  </w:style>
  <w:style w:type="character" w:customStyle="1" w:styleId="CytatZnak">
    <w:name w:val="Cytat Znak"/>
    <w:basedOn w:val="Domylnaczcionkaakapitu"/>
    <w:link w:val="Cytat"/>
    <w:uiPriority w:val="29"/>
    <w:rsid w:val="003A06E8"/>
    <w:rPr>
      <w:i/>
      <w:iCs/>
      <w:color w:val="404040" w:themeColor="text1" w:themeTint="BF"/>
      <w:lang w:val="en-GB"/>
    </w:rPr>
  </w:style>
  <w:style w:type="character" w:styleId="Wyrnienieintensywne">
    <w:name w:val="Intense Emphasis"/>
    <w:basedOn w:val="Domylnaczcionkaakapitu"/>
    <w:uiPriority w:val="21"/>
    <w:qFormat/>
    <w:rsid w:val="003A06E8"/>
    <w:rPr>
      <w:i/>
      <w:iCs/>
      <w:color w:val="2F5496" w:themeColor="accent1" w:themeShade="BF"/>
    </w:rPr>
  </w:style>
  <w:style w:type="paragraph" w:styleId="Cytatintensywny">
    <w:name w:val="Intense Quote"/>
    <w:basedOn w:val="Normalny"/>
    <w:next w:val="Normalny"/>
    <w:link w:val="CytatintensywnyZnak"/>
    <w:uiPriority w:val="30"/>
    <w:qFormat/>
    <w:rsid w:val="003A06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A06E8"/>
    <w:rPr>
      <w:i/>
      <w:iCs/>
      <w:color w:val="2F5496" w:themeColor="accent1" w:themeShade="BF"/>
      <w:lang w:val="en-GB"/>
    </w:rPr>
  </w:style>
  <w:style w:type="character" w:styleId="Odwoanieintensywne">
    <w:name w:val="Intense Reference"/>
    <w:basedOn w:val="Domylnaczcionkaakapitu"/>
    <w:uiPriority w:val="32"/>
    <w:qFormat/>
    <w:rsid w:val="003A06E8"/>
    <w:rPr>
      <w:b/>
      <w:bCs/>
      <w:smallCaps/>
      <w:color w:val="2F5496" w:themeColor="accent1" w:themeShade="BF"/>
      <w:spacing w:val="5"/>
    </w:rPr>
  </w:style>
  <w:style w:type="character" w:customStyle="1" w:styleId="normaltextrun">
    <w:name w:val="normaltextrun"/>
    <w:basedOn w:val="Domylnaczcionkaakapitu"/>
    <w:rsid w:val="00204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3A06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A06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A06E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A06E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A06E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A06E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A06E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A06E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A06E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L-TITOLO1">
    <w:name w:val="PL- TITOLO1"/>
    <w:basedOn w:val="Akapitzlist"/>
    <w:link w:val="PL-TITOLO1Carattere"/>
    <w:autoRedefine/>
    <w:qFormat/>
    <w:rsid w:val="00803C9E"/>
    <w:pPr>
      <w:numPr>
        <w:numId w:val="5"/>
      </w:numPr>
      <w:shd w:val="clear" w:color="auto" w:fill="323E4F" w:themeFill="text2" w:themeFillShade="BF"/>
      <w:spacing w:after="200" w:line="276" w:lineRule="auto"/>
      <w:outlineLvl w:val="0"/>
    </w:pPr>
    <w:rPr>
      <w:rFonts w:ascii="Times New Roman" w:eastAsia="Times New Roman" w:hAnsi="Times New Roman" w:cs="Times New Roman"/>
      <w:b/>
      <w:caps/>
      <w:color w:val="FFFFFF" w:themeColor="background1"/>
      <w:sz w:val="24"/>
      <w:szCs w:val="24"/>
      <w:lang w:val="it-IT" w:eastAsia="en-GB"/>
    </w:rPr>
  </w:style>
  <w:style w:type="character" w:customStyle="1" w:styleId="PL-TITOLO1Carattere">
    <w:name w:val="PL- TITOLO1 Carattere"/>
    <w:basedOn w:val="Domylnaczcionkaakapitu"/>
    <w:link w:val="PL-TITOLO1"/>
    <w:locked/>
    <w:rsid w:val="00937031"/>
    <w:rPr>
      <w:rFonts w:ascii="Times New Roman" w:eastAsia="Times New Roman" w:hAnsi="Times New Roman" w:cs="Times New Roman"/>
      <w:b/>
      <w:caps/>
      <w:color w:val="FFFFFF" w:themeColor="background1"/>
      <w:sz w:val="24"/>
      <w:szCs w:val="24"/>
      <w:shd w:val="clear" w:color="auto" w:fill="323E4F" w:themeFill="text2" w:themeFillShade="BF"/>
      <w:lang w:eastAsia="en-GB"/>
    </w:rPr>
  </w:style>
  <w:style w:type="paragraph" w:styleId="Akapitzlist">
    <w:name w:val="List Paragraph"/>
    <w:basedOn w:val="Normalny"/>
    <w:uiPriority w:val="34"/>
    <w:qFormat/>
    <w:rsid w:val="00937031"/>
    <w:pPr>
      <w:ind w:left="720"/>
      <w:contextualSpacing/>
    </w:pPr>
  </w:style>
  <w:style w:type="paragraph" w:customStyle="1" w:styleId="PL-TITOLO2">
    <w:name w:val="PL-TITOLO2"/>
    <w:basedOn w:val="Akapitzlist"/>
    <w:link w:val="PL-TITOLO2Carattere"/>
    <w:autoRedefine/>
    <w:qFormat/>
    <w:rsid w:val="00803C9E"/>
    <w:pPr>
      <w:numPr>
        <w:ilvl w:val="1"/>
        <w:numId w:val="6"/>
      </w:numPr>
      <w:pBdr>
        <w:top w:val="single" w:sz="4" w:space="1" w:color="auto"/>
        <w:left w:val="single" w:sz="4" w:space="4" w:color="auto"/>
        <w:bottom w:val="single" w:sz="4" w:space="0" w:color="auto"/>
        <w:right w:val="single" w:sz="4" w:space="4" w:color="auto"/>
      </w:pBdr>
      <w:shd w:val="clear" w:color="auto" w:fill="B4D4D3"/>
      <w:spacing w:before="120" w:after="120" w:line="240" w:lineRule="auto"/>
      <w:ind w:left="1212" w:hanging="360"/>
      <w:jc w:val="both"/>
      <w:outlineLvl w:val="1"/>
    </w:pPr>
    <w:rPr>
      <w:rFonts w:ascii="Segoe UI" w:hAnsi="Segoe UI"/>
      <w:b/>
      <w:sz w:val="24"/>
      <w:lang w:val="it-IT"/>
    </w:rPr>
  </w:style>
  <w:style w:type="character" w:customStyle="1" w:styleId="PL-TITOLO2Carattere">
    <w:name w:val="PL-TITOLO2 Carattere"/>
    <w:link w:val="PL-TITOLO2"/>
    <w:locked/>
    <w:rsid w:val="00803C9E"/>
    <w:rPr>
      <w:rFonts w:ascii="Segoe UI" w:hAnsi="Segoe UI"/>
      <w:b/>
      <w:sz w:val="24"/>
      <w:shd w:val="clear" w:color="auto" w:fill="B4D4D3"/>
    </w:rPr>
  </w:style>
  <w:style w:type="table" w:customStyle="1" w:styleId="AMUSE01">
    <w:name w:val="AMUSE 01"/>
    <w:basedOn w:val="Standardowy"/>
    <w:uiPriority w:val="99"/>
    <w:rsid w:val="0054041B"/>
    <w:pPr>
      <w:spacing w:after="0" w:line="240" w:lineRule="auto"/>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solid" w:color="auto" w:fill="B4C6E7" w:themeFill="accent1" w:themeFillTint="66"/>
    </w:tcPr>
    <w:tblStylePr w:type="firstRow">
      <w:tblPr/>
      <w:tcPr>
        <w:shd w:val="clear" w:color="auto" w:fill="1F3864" w:themeFill="accent1" w:themeFillShade="80"/>
      </w:tcPr>
    </w:tblStylePr>
    <w:tblStylePr w:type="firstCol">
      <w:tblPr/>
      <w:tcPr>
        <w:shd w:val="clear" w:color="auto" w:fill="BDD6EE" w:themeFill="accent5" w:themeFillTint="66"/>
      </w:tcPr>
    </w:tblStylePr>
    <w:tblStylePr w:type="band1Horz">
      <w:tblPr/>
      <w:tcPr>
        <w:shd w:val="clear" w:color="auto" w:fill="DEEAF6" w:themeFill="accent5" w:themeFillTint="33"/>
      </w:tcPr>
    </w:tblStylePr>
    <w:tblStylePr w:type="band2Horz">
      <w:tblPr/>
      <w:tcPr>
        <w:shd w:val="clear" w:color="auto" w:fill="ACB9CA" w:themeFill="text2" w:themeFillTint="66"/>
      </w:tcPr>
    </w:tblStylePr>
  </w:style>
  <w:style w:type="character" w:customStyle="1" w:styleId="Nagwek1Znak">
    <w:name w:val="Nagłówek 1 Znak"/>
    <w:basedOn w:val="Domylnaczcionkaakapitu"/>
    <w:link w:val="Nagwek1"/>
    <w:uiPriority w:val="9"/>
    <w:rsid w:val="003A06E8"/>
    <w:rPr>
      <w:rFonts w:asciiTheme="majorHAnsi" w:eastAsiaTheme="majorEastAsia" w:hAnsiTheme="majorHAnsi" w:cstheme="majorBidi"/>
      <w:color w:val="2F5496" w:themeColor="accent1" w:themeShade="BF"/>
      <w:sz w:val="40"/>
      <w:szCs w:val="40"/>
      <w:lang w:val="en-GB"/>
    </w:rPr>
  </w:style>
  <w:style w:type="character" w:customStyle="1" w:styleId="Nagwek2Znak">
    <w:name w:val="Nagłówek 2 Znak"/>
    <w:basedOn w:val="Domylnaczcionkaakapitu"/>
    <w:link w:val="Nagwek2"/>
    <w:uiPriority w:val="9"/>
    <w:semiHidden/>
    <w:rsid w:val="003A06E8"/>
    <w:rPr>
      <w:rFonts w:asciiTheme="majorHAnsi" w:eastAsiaTheme="majorEastAsia" w:hAnsiTheme="majorHAnsi" w:cstheme="majorBidi"/>
      <w:color w:val="2F5496" w:themeColor="accent1" w:themeShade="BF"/>
      <w:sz w:val="32"/>
      <w:szCs w:val="32"/>
      <w:lang w:val="en-GB"/>
    </w:rPr>
  </w:style>
  <w:style w:type="character" w:customStyle="1" w:styleId="Nagwek3Znak">
    <w:name w:val="Nagłówek 3 Znak"/>
    <w:basedOn w:val="Domylnaczcionkaakapitu"/>
    <w:link w:val="Nagwek3"/>
    <w:uiPriority w:val="9"/>
    <w:semiHidden/>
    <w:rsid w:val="003A06E8"/>
    <w:rPr>
      <w:rFonts w:eastAsiaTheme="majorEastAsia" w:cstheme="majorBidi"/>
      <w:color w:val="2F5496" w:themeColor="accent1" w:themeShade="BF"/>
      <w:sz w:val="28"/>
      <w:szCs w:val="28"/>
      <w:lang w:val="en-GB"/>
    </w:rPr>
  </w:style>
  <w:style w:type="character" w:customStyle="1" w:styleId="Nagwek4Znak">
    <w:name w:val="Nagłówek 4 Znak"/>
    <w:basedOn w:val="Domylnaczcionkaakapitu"/>
    <w:link w:val="Nagwek4"/>
    <w:uiPriority w:val="9"/>
    <w:semiHidden/>
    <w:rsid w:val="003A06E8"/>
    <w:rPr>
      <w:rFonts w:eastAsiaTheme="majorEastAsia" w:cstheme="majorBidi"/>
      <w:i/>
      <w:iCs/>
      <w:color w:val="2F5496" w:themeColor="accent1" w:themeShade="BF"/>
      <w:lang w:val="en-GB"/>
    </w:rPr>
  </w:style>
  <w:style w:type="character" w:customStyle="1" w:styleId="Nagwek5Znak">
    <w:name w:val="Nagłówek 5 Znak"/>
    <w:basedOn w:val="Domylnaczcionkaakapitu"/>
    <w:link w:val="Nagwek5"/>
    <w:uiPriority w:val="9"/>
    <w:semiHidden/>
    <w:rsid w:val="003A06E8"/>
    <w:rPr>
      <w:rFonts w:eastAsiaTheme="majorEastAsia" w:cstheme="majorBidi"/>
      <w:color w:val="2F5496" w:themeColor="accent1" w:themeShade="BF"/>
      <w:lang w:val="en-GB"/>
    </w:rPr>
  </w:style>
  <w:style w:type="character" w:customStyle="1" w:styleId="Nagwek6Znak">
    <w:name w:val="Nagłówek 6 Znak"/>
    <w:basedOn w:val="Domylnaczcionkaakapitu"/>
    <w:link w:val="Nagwek6"/>
    <w:uiPriority w:val="9"/>
    <w:semiHidden/>
    <w:rsid w:val="003A06E8"/>
    <w:rPr>
      <w:rFonts w:eastAsiaTheme="majorEastAsia" w:cstheme="majorBidi"/>
      <w:i/>
      <w:iCs/>
      <w:color w:val="595959" w:themeColor="text1" w:themeTint="A6"/>
      <w:lang w:val="en-GB"/>
    </w:rPr>
  </w:style>
  <w:style w:type="character" w:customStyle="1" w:styleId="Nagwek7Znak">
    <w:name w:val="Nagłówek 7 Znak"/>
    <w:basedOn w:val="Domylnaczcionkaakapitu"/>
    <w:link w:val="Nagwek7"/>
    <w:uiPriority w:val="9"/>
    <w:semiHidden/>
    <w:rsid w:val="003A06E8"/>
    <w:rPr>
      <w:rFonts w:eastAsiaTheme="majorEastAsia" w:cstheme="majorBidi"/>
      <w:color w:val="595959" w:themeColor="text1" w:themeTint="A6"/>
      <w:lang w:val="en-GB"/>
    </w:rPr>
  </w:style>
  <w:style w:type="character" w:customStyle="1" w:styleId="Nagwek8Znak">
    <w:name w:val="Nagłówek 8 Znak"/>
    <w:basedOn w:val="Domylnaczcionkaakapitu"/>
    <w:link w:val="Nagwek8"/>
    <w:uiPriority w:val="9"/>
    <w:semiHidden/>
    <w:rsid w:val="003A06E8"/>
    <w:rPr>
      <w:rFonts w:eastAsiaTheme="majorEastAsia" w:cstheme="majorBidi"/>
      <w:i/>
      <w:iCs/>
      <w:color w:val="272727" w:themeColor="text1" w:themeTint="D8"/>
      <w:lang w:val="en-GB"/>
    </w:rPr>
  </w:style>
  <w:style w:type="character" w:customStyle="1" w:styleId="Nagwek9Znak">
    <w:name w:val="Nagłówek 9 Znak"/>
    <w:basedOn w:val="Domylnaczcionkaakapitu"/>
    <w:link w:val="Nagwek9"/>
    <w:uiPriority w:val="9"/>
    <w:semiHidden/>
    <w:rsid w:val="003A06E8"/>
    <w:rPr>
      <w:rFonts w:eastAsiaTheme="majorEastAsia" w:cstheme="majorBidi"/>
      <w:color w:val="272727" w:themeColor="text1" w:themeTint="D8"/>
      <w:lang w:val="en-GB"/>
    </w:rPr>
  </w:style>
  <w:style w:type="paragraph" w:styleId="Tytu">
    <w:name w:val="Title"/>
    <w:basedOn w:val="Normalny"/>
    <w:next w:val="Normalny"/>
    <w:link w:val="TytuZnak"/>
    <w:uiPriority w:val="10"/>
    <w:qFormat/>
    <w:rsid w:val="003A0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A06E8"/>
    <w:rPr>
      <w:rFonts w:asciiTheme="majorHAnsi" w:eastAsiaTheme="majorEastAsia" w:hAnsiTheme="majorHAnsi" w:cstheme="majorBidi"/>
      <w:spacing w:val="-10"/>
      <w:kern w:val="28"/>
      <w:sz w:val="56"/>
      <w:szCs w:val="56"/>
      <w:lang w:val="en-GB"/>
    </w:rPr>
  </w:style>
  <w:style w:type="paragraph" w:styleId="Podtytu">
    <w:name w:val="Subtitle"/>
    <w:basedOn w:val="Normalny"/>
    <w:next w:val="Normalny"/>
    <w:link w:val="PodtytuZnak"/>
    <w:uiPriority w:val="11"/>
    <w:qFormat/>
    <w:rsid w:val="003A06E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A06E8"/>
    <w:rPr>
      <w:rFonts w:eastAsiaTheme="majorEastAsia" w:cstheme="majorBidi"/>
      <w:color w:val="595959" w:themeColor="text1" w:themeTint="A6"/>
      <w:spacing w:val="15"/>
      <w:sz w:val="28"/>
      <w:szCs w:val="28"/>
      <w:lang w:val="en-GB"/>
    </w:rPr>
  </w:style>
  <w:style w:type="paragraph" w:styleId="Cytat">
    <w:name w:val="Quote"/>
    <w:basedOn w:val="Normalny"/>
    <w:next w:val="Normalny"/>
    <w:link w:val="CytatZnak"/>
    <w:uiPriority w:val="29"/>
    <w:qFormat/>
    <w:rsid w:val="003A06E8"/>
    <w:pPr>
      <w:spacing w:before="160"/>
      <w:jc w:val="center"/>
    </w:pPr>
    <w:rPr>
      <w:i/>
      <w:iCs/>
      <w:color w:val="404040" w:themeColor="text1" w:themeTint="BF"/>
    </w:rPr>
  </w:style>
  <w:style w:type="character" w:customStyle="1" w:styleId="CytatZnak">
    <w:name w:val="Cytat Znak"/>
    <w:basedOn w:val="Domylnaczcionkaakapitu"/>
    <w:link w:val="Cytat"/>
    <w:uiPriority w:val="29"/>
    <w:rsid w:val="003A06E8"/>
    <w:rPr>
      <w:i/>
      <w:iCs/>
      <w:color w:val="404040" w:themeColor="text1" w:themeTint="BF"/>
      <w:lang w:val="en-GB"/>
    </w:rPr>
  </w:style>
  <w:style w:type="character" w:styleId="Wyrnienieintensywne">
    <w:name w:val="Intense Emphasis"/>
    <w:basedOn w:val="Domylnaczcionkaakapitu"/>
    <w:uiPriority w:val="21"/>
    <w:qFormat/>
    <w:rsid w:val="003A06E8"/>
    <w:rPr>
      <w:i/>
      <w:iCs/>
      <w:color w:val="2F5496" w:themeColor="accent1" w:themeShade="BF"/>
    </w:rPr>
  </w:style>
  <w:style w:type="paragraph" w:styleId="Cytatintensywny">
    <w:name w:val="Intense Quote"/>
    <w:basedOn w:val="Normalny"/>
    <w:next w:val="Normalny"/>
    <w:link w:val="CytatintensywnyZnak"/>
    <w:uiPriority w:val="30"/>
    <w:qFormat/>
    <w:rsid w:val="003A06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A06E8"/>
    <w:rPr>
      <w:i/>
      <w:iCs/>
      <w:color w:val="2F5496" w:themeColor="accent1" w:themeShade="BF"/>
      <w:lang w:val="en-GB"/>
    </w:rPr>
  </w:style>
  <w:style w:type="character" w:styleId="Odwoanieintensywne">
    <w:name w:val="Intense Reference"/>
    <w:basedOn w:val="Domylnaczcionkaakapitu"/>
    <w:uiPriority w:val="32"/>
    <w:qFormat/>
    <w:rsid w:val="003A06E8"/>
    <w:rPr>
      <w:b/>
      <w:bCs/>
      <w:smallCaps/>
      <w:color w:val="2F5496" w:themeColor="accent1" w:themeShade="BF"/>
      <w:spacing w:val="5"/>
    </w:rPr>
  </w:style>
  <w:style w:type="character" w:customStyle="1" w:styleId="normaltextrun">
    <w:name w:val="normaltextrun"/>
    <w:basedOn w:val="Domylnaczcionkaakapitu"/>
    <w:rsid w:val="00204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815983">
      <w:bodyDiv w:val="1"/>
      <w:marLeft w:val="0"/>
      <w:marRight w:val="0"/>
      <w:marTop w:val="0"/>
      <w:marBottom w:val="0"/>
      <w:divBdr>
        <w:top w:val="none" w:sz="0" w:space="0" w:color="auto"/>
        <w:left w:val="none" w:sz="0" w:space="0" w:color="auto"/>
        <w:bottom w:val="none" w:sz="0" w:space="0" w:color="auto"/>
        <w:right w:val="none" w:sz="0" w:space="0" w:color="auto"/>
      </w:divBdr>
    </w:div>
    <w:div w:id="185888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35046-1C04-4A68-A11F-3DE654B3DF45}">
  <ds:schemaRefs>
    <ds:schemaRef ds:uri="http://schemas.microsoft.com/office/2006/metadata/properties"/>
    <ds:schemaRef ds:uri="http://schemas.microsoft.com/office/infopath/2007/PartnerControls"/>
    <ds:schemaRef ds:uri="30b31934-cd94-4037-b0a6-7d8c6b041c15"/>
    <ds:schemaRef ds:uri="fffe3cb1-a735-42ee-a969-db02c88060ce"/>
  </ds:schemaRefs>
</ds:datastoreItem>
</file>

<file path=customXml/itemProps2.xml><?xml version="1.0" encoding="utf-8"?>
<ds:datastoreItem xmlns:ds="http://schemas.openxmlformats.org/officeDocument/2006/customXml" ds:itemID="{9F6E5389-EE19-4165-9E59-0523550B634A}">
  <ds:schemaRefs>
    <ds:schemaRef ds:uri="http://schemas.microsoft.com/sharepoint/v3/contenttype/forms"/>
  </ds:schemaRefs>
</ds:datastoreItem>
</file>

<file path=customXml/itemProps3.xml><?xml version="1.0" encoding="utf-8"?>
<ds:datastoreItem xmlns:ds="http://schemas.openxmlformats.org/officeDocument/2006/customXml" ds:itemID="{2C8A3299-0FBE-495F-BB47-ED564E439B54}"/>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1717</ap:Words>
  <ap:Characters>10306</ap:Characters>
  <ap:Application>Microsoft Office Word</ap:Application>
  <ap:DocSecurity>0</ap:DocSecurity>
  <ap:Lines>85</ap:Lines>
  <ap:Paragraphs>23</ap:Paragraphs>
  <ap:ScaleCrop>false</ap:ScaleCrop>
  <ap:HeadingPairs>
    <vt:vector baseType="variant" size="4">
      <vt:variant>
        <vt:lpstr>Tytuł</vt:lpstr>
      </vt:variant>
      <vt:variant>
        <vt:i4>1</vt:i4>
      </vt:variant>
      <vt:variant>
        <vt:lpstr>Titolo</vt:lpstr>
      </vt:variant>
      <vt:variant>
        <vt:i4>1</vt:i4>
      </vt:variant>
    </vt:vector>
  </ap:HeadingPairs>
  <ap:TitlesOfParts>
    <vt:vector baseType="lpstr" size="2">
      <vt:lpstr/>
      <vt:lpstr/>
    </vt:vector>
  </ap:TitlesOfParts>
  <ap:Company/>
  <ap:LinksUpToDate>false</ap:LinksUpToDate>
  <ap:CharactersWithSpaces>12000</ap:CharactersWithSpaces>
  <ap:SharedDoc>false</ap:SharedDoc>
  <ap:HyperlinksChanged>false</ap:HyperlinksChanged>
  <ap:AppVersion>14.0000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Dionisio Capuano</dc:creator>
  <cp:keywords>, docId:0C6D98F390B91CD8B8F271811EE4E6AE</cp:keywords>
  <cp:lastModifiedBy>DELL</cp:lastModifiedBy>
  <cp:revision>2</cp:revision>
  <dcterms:created xsi:type="dcterms:W3CDTF">2025-05-22T10:57:00Z</dcterms:created>
  <dcterms:modified xsi:type="dcterms:W3CDTF">2025-05-22T10:57:00Z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ies>
</file>