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4BC7B" w14:textId="50C17EB3" w:rsidR="002F23A2" w:rsidRPr="005A5021" w:rsidRDefault="002F23A2" w:rsidP="005A5021">
      <w:pPr>
        <w:pStyle w:val="Titolo1"/>
        <w:jc w:val="both"/>
        <w:rPr>
          <w:lang w:val="it-IT"/>
        </w:rPr>
      </w:pPr>
      <w:r w:rsidRPr="005A5021">
        <w:rPr>
          <w:lang w:val="it-IT"/>
        </w:rPr>
        <w:t>Modulo 5: Monitoraggio, valutazione e miglioramento continuo</w:t>
      </w:r>
    </w:p>
    <w:p w14:paraId="13AD67DA" w14:textId="1F1F4EFD" w:rsidR="002F23A2" w:rsidRPr="005A5021" w:rsidRDefault="002F23A2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>Sessione 1: Monitoraggio, valutazione e miglioramento continuo</w:t>
      </w:r>
    </w:p>
    <w:p w14:paraId="54EAC7B9" w14:textId="10682FB1" w:rsidR="003B4B1F" w:rsidRPr="005A5021" w:rsidRDefault="003B4B1F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1: </w:t>
      </w:r>
    </w:p>
    <w:p w14:paraId="07FA4F67" w14:textId="2849DAEE" w:rsidR="003B4B1F" w:rsidRPr="005A5021" w:rsidRDefault="003B4B1F" w:rsidP="005A5021">
      <w:pPr>
        <w:jc w:val="both"/>
        <w:rPr>
          <w:lang w:val="it-IT"/>
        </w:rPr>
      </w:pPr>
      <w:r w:rsidRPr="005A5021">
        <w:rPr>
          <w:lang w:val="it-IT"/>
        </w:rPr>
        <w:t>Modulo 5: Monitoraggio, valutazione e miglioramento continuo</w:t>
      </w:r>
    </w:p>
    <w:p w14:paraId="3460A9A4" w14:textId="68066804" w:rsidR="003B4B1F" w:rsidRPr="005A5021" w:rsidRDefault="003B4B1F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2: </w:t>
      </w:r>
    </w:p>
    <w:p w14:paraId="583CD671" w14:textId="2C3F5ED3" w:rsidR="003B4B1F" w:rsidRPr="005A5021" w:rsidRDefault="003B4B1F" w:rsidP="005A5021">
      <w:pPr>
        <w:jc w:val="both"/>
        <w:rPr>
          <w:lang w:val="it-IT"/>
        </w:rPr>
      </w:pPr>
      <w:r w:rsidRPr="005A5021">
        <w:rPr>
          <w:lang w:val="it-IT"/>
        </w:rPr>
        <w:t>Sessione 1: Monitoraggio, valutazione e miglioramento continuo</w:t>
      </w:r>
    </w:p>
    <w:p w14:paraId="47B31838" w14:textId="41398F57" w:rsidR="00B20D70" w:rsidRPr="005A5021" w:rsidRDefault="005A5021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</w:t>
      </w:r>
      <w:r w:rsidR="003B4B1F" w:rsidRPr="005A5021">
        <w:rPr>
          <w:lang w:val="it-IT"/>
        </w:rPr>
        <w:t>3</w:t>
      </w:r>
      <w:r w:rsidRPr="005A5021">
        <w:rPr>
          <w:lang w:val="it-IT"/>
        </w:rPr>
        <w:t xml:space="preserve">: </w:t>
      </w:r>
      <w:r w:rsidR="002F23A2" w:rsidRPr="005A5021">
        <w:rPr>
          <w:lang w:val="it-IT"/>
        </w:rPr>
        <w:t>Introduzione</w:t>
      </w:r>
    </w:p>
    <w:p w14:paraId="5F7975AD" w14:textId="414835F8" w:rsidR="002F23A2" w:rsidRPr="005A5021" w:rsidRDefault="002F23A2" w:rsidP="005A5021">
      <w:pPr>
        <w:jc w:val="both"/>
        <w:rPr>
          <w:lang w:val="it-IT"/>
        </w:rPr>
      </w:pPr>
      <w:r w:rsidRPr="005A5021">
        <w:rPr>
          <w:lang w:val="it-IT"/>
        </w:rPr>
        <w:t xml:space="preserve">Il monitoraggio e la valutazione (M&amp;E) sono la spina dorsale delle attività legate alla gestione dei rifiuti alimentari in termini di efficacia, efficienza e sostenibilità. Dando priorità al M&amp;E, le organizzazioni si assicurano che le loro attività di gestione dei rifiuti alimentari siano efficaci nel contribuire alla sostenibilità ambientale, all'efficienza economica e all'equità sociale. </w:t>
      </w:r>
    </w:p>
    <w:p w14:paraId="05F63382" w14:textId="17A3D30C" w:rsidR="00B20D70" w:rsidRPr="005A5021" w:rsidRDefault="005A5021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</w:t>
      </w:r>
      <w:r w:rsidR="003B4B1F" w:rsidRPr="005A5021">
        <w:rPr>
          <w:lang w:val="it-IT"/>
        </w:rPr>
        <w:t>4</w:t>
      </w:r>
      <w:r w:rsidRPr="005A5021">
        <w:rPr>
          <w:lang w:val="it-IT"/>
        </w:rPr>
        <w:t xml:space="preserve">: </w:t>
      </w:r>
      <w:r w:rsidR="002F23A2" w:rsidRPr="005A5021">
        <w:rPr>
          <w:lang w:val="it-IT"/>
        </w:rPr>
        <w:t xml:space="preserve">Efficacia e responsabilità </w:t>
      </w:r>
    </w:p>
    <w:p w14:paraId="7AFBCB87" w14:textId="32CAE360" w:rsidR="003B4B1F" w:rsidRPr="005A5021" w:rsidRDefault="003B4B1F" w:rsidP="005A5021">
      <w:pPr>
        <w:pStyle w:val="Titolo2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5A50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La natura del M&amp;E fornisce informazioni se le attività svolte nell'ambito della gestione dei rifiuti alimentari stanno raggiungendo gli obiettivi prefissati, come la riduzione dei rifiuti o il miglioramento del riciclaggio.</w:t>
      </w:r>
    </w:p>
    <w:p w14:paraId="4C70EC2C" w14:textId="2C81A148" w:rsidR="003B4B1F" w:rsidRPr="005A5021" w:rsidRDefault="003B4B1F" w:rsidP="005A5021">
      <w:pPr>
        <w:pStyle w:val="Titolo2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5A50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Inoltre, l'M&amp;E indica le lacune in cui i programmi non raggiungono gli obiettivi e richiede quindi modifiche tempestive.</w:t>
      </w:r>
    </w:p>
    <w:p w14:paraId="494CBBD1" w14:textId="041524F8" w:rsidR="003B4B1F" w:rsidRPr="005A5021" w:rsidRDefault="003B4B1F" w:rsidP="005A5021">
      <w:pPr>
        <w:pStyle w:val="Titolo2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5A50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Attraverso un monitoraggio regolare, ad esempio, i finanziatori, i governi e le comunità sono informati sull'uso delle risorse.</w:t>
      </w:r>
    </w:p>
    <w:p w14:paraId="42117539" w14:textId="3C33CF5B" w:rsidR="003B4B1F" w:rsidRPr="005A5021" w:rsidRDefault="003B4B1F" w:rsidP="005A5021">
      <w:pPr>
        <w:pStyle w:val="Titolo2"/>
        <w:spacing w:before="0"/>
        <w:jc w:val="both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5A5021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L'M&amp;E contribuisce a soddisfare i quadri normativi relativi agli obiettivi di riduzione dei rifiuti e agli standard ambientali.</w:t>
      </w:r>
    </w:p>
    <w:p w14:paraId="3B794DE0" w14:textId="7C174935" w:rsidR="00B20D70" w:rsidRPr="005A5021" w:rsidRDefault="005A5021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</w:t>
      </w:r>
      <w:r w:rsidR="003B4B1F" w:rsidRPr="005A5021">
        <w:rPr>
          <w:lang w:val="it-IT"/>
        </w:rPr>
        <w:t>5</w:t>
      </w:r>
      <w:r w:rsidRPr="005A5021">
        <w:rPr>
          <w:lang w:val="it-IT"/>
        </w:rPr>
        <w:t xml:space="preserve">: </w:t>
      </w:r>
      <w:r w:rsidR="002F23A2" w:rsidRPr="005A5021">
        <w:rPr>
          <w:lang w:val="it-IT"/>
        </w:rPr>
        <w:t xml:space="preserve">Ottimizzazione delle risorse e miglioramento continuo </w:t>
      </w:r>
    </w:p>
    <w:p w14:paraId="37AD50BC" w14:textId="77777777" w:rsidR="00B20D70" w:rsidRPr="005A5021" w:rsidRDefault="005A5021" w:rsidP="005A5021">
      <w:pPr>
        <w:jc w:val="both"/>
        <w:rPr>
          <w:lang w:val="it-IT"/>
        </w:rPr>
      </w:pPr>
      <w:r w:rsidRPr="005A5021">
        <w:rPr>
          <w:lang w:val="it-IT"/>
        </w:rPr>
        <w:t>Questa diapositiva sottolinea il ruolo del monitoraggio dei progressi nell'identificare le inefficienze e ottimizzare l'uso delle risorse. I risultati del M&amp;E forniscono una base per riallocare le risorse alle attività con il più alto impatto e per rivalutare le strategie. La diapositiva evidenzia che l'analisi dei successi e degli insuccessi può ispirare soluzioni innovative e promuovere miglioramenti nella gestione dei rifiuti alimentari.</w:t>
      </w:r>
    </w:p>
    <w:p w14:paraId="0EFF0548" w14:textId="24E96A07" w:rsidR="00B20D70" w:rsidRPr="005A5021" w:rsidRDefault="005A5021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</w:t>
      </w:r>
      <w:r w:rsidR="003B4B1F" w:rsidRPr="005A5021">
        <w:rPr>
          <w:lang w:val="it-IT"/>
        </w:rPr>
        <w:t>6</w:t>
      </w:r>
      <w:r w:rsidRPr="005A5021">
        <w:rPr>
          <w:lang w:val="it-IT"/>
        </w:rPr>
        <w:t xml:space="preserve">: </w:t>
      </w:r>
      <w:r w:rsidR="002F23A2" w:rsidRPr="005A5021">
        <w:rPr>
          <w:lang w:val="it-IT"/>
        </w:rPr>
        <w:t>Migliori risultati ambientali e sociali</w:t>
      </w:r>
    </w:p>
    <w:p w14:paraId="687A4B7C" w14:textId="68F2D0E7" w:rsidR="00B20D70" w:rsidRPr="005A5021" w:rsidRDefault="005A5021" w:rsidP="005A5021">
      <w:pPr>
        <w:jc w:val="both"/>
        <w:rPr>
          <w:lang w:val="it-IT"/>
        </w:rPr>
      </w:pPr>
      <w:r w:rsidRPr="005A5021">
        <w:rPr>
          <w:lang w:val="it-IT"/>
        </w:rPr>
        <w:t>Il racconto di questa diapositiva evidenzia come l'M&amp;E contribuisca a ridurre al minimo le emissioni di gas serra e a preservare le risorse naturali. Monitora l'efficienza dei programmi di ridistribuzione del cibo, che reindirizzano le eccedenze alimentari a chi ne ha bisogno, creando benefici sociali. La diapositiva fa anche riferimento alla FAO Food Loss and Waste Challenge e al Food Waste Index Report 2024 dell'UNEP, incoraggiando l'allineamento con queste iniziative globali.</w:t>
      </w:r>
    </w:p>
    <w:p w14:paraId="36AEB3F5" w14:textId="6532A203" w:rsidR="00B20D70" w:rsidRPr="005A5021" w:rsidRDefault="005A5021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lastRenderedPageBreak/>
        <w:t xml:space="preserve">Diapositiva </w:t>
      </w:r>
      <w:r w:rsidR="003B4B1F" w:rsidRPr="005A5021">
        <w:rPr>
          <w:lang w:val="it-IT"/>
        </w:rPr>
        <w:t>7</w:t>
      </w:r>
      <w:r w:rsidRPr="005A5021">
        <w:rPr>
          <w:lang w:val="it-IT"/>
        </w:rPr>
        <w:t xml:space="preserve">: </w:t>
      </w:r>
      <w:r w:rsidR="002F23A2" w:rsidRPr="005A5021">
        <w:rPr>
          <w:lang w:val="it-IT"/>
        </w:rPr>
        <w:t>Coinvolgimento delle parti interessate e adattamento a circostanze mutevoli</w:t>
      </w:r>
    </w:p>
    <w:p w14:paraId="673A84A9" w14:textId="583BD1F4" w:rsidR="00B20D70" w:rsidRPr="005A5021" w:rsidRDefault="005A5021" w:rsidP="005A5021">
      <w:pPr>
        <w:jc w:val="both"/>
        <w:rPr>
          <w:lang w:val="it-IT"/>
        </w:rPr>
      </w:pPr>
      <w:r w:rsidRPr="005A5021">
        <w:rPr>
          <w:lang w:val="it-IT"/>
        </w:rPr>
        <w:t>Questa diapositiva si concentra sull'importanza della trasparenza nella rendicontazione, notando che rafforza le relazioni con le parti interessate e ispira il coinvolgimento della comunità. I sistemi di M&amp;E aiutano a identificare le sfide emergenti e i cambiamenti nei modelli di produzione dei rifiuti, consentendo una gestione adattiva. La diapositiva sottolinea che la scalabilità delle attività di successo può portare a un miglioramento dei risultati ambientali e sociali.</w:t>
      </w:r>
    </w:p>
    <w:p w14:paraId="09F2601A" w14:textId="1F3C4392" w:rsidR="003B4B1F" w:rsidRPr="005A5021" w:rsidRDefault="003B4B1F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>Diapositiva 8: Esempi di iniziative di monitoraggio di successo (parte 1)</w:t>
      </w:r>
    </w:p>
    <w:p w14:paraId="1A52C861" w14:textId="7E2D0D69" w:rsidR="003B4B1F" w:rsidRPr="003B4B1F" w:rsidRDefault="003B4B1F" w:rsidP="005A5021">
      <w:pPr>
        <w:jc w:val="both"/>
        <w:rPr>
          <w:lang/>
        </w:rPr>
      </w:pPr>
      <w:r w:rsidRPr="003B4B1F">
        <w:rPr>
          <w:lang/>
        </w:rPr>
        <w:t>Movimento danese Stop Wasting Food: Combina audit, campagne di sensibilizzazione del pubblico e partnership con le parti interessate per ridurre gli sprechi.</w:t>
      </w:r>
    </w:p>
    <w:p w14:paraId="193A19D8" w14:textId="21686C95" w:rsidR="003B4B1F" w:rsidRPr="003B4B1F" w:rsidRDefault="003B4B1F" w:rsidP="005A5021">
      <w:pPr>
        <w:jc w:val="both"/>
        <w:rPr>
          <w:lang/>
        </w:rPr>
      </w:pPr>
      <w:r w:rsidRPr="003B4B1F">
        <w:rPr>
          <w:lang/>
        </w:rPr>
        <w:t>WRAP's Food Waste Reduction Roadmap (Regno Unito): Fornisce linee guida dettagliate per le aziende per monitorare, misurare e segnalare gli sprechi alimentari.</w:t>
      </w:r>
    </w:p>
    <w:p w14:paraId="13B9BF4A" w14:textId="57EC3A65" w:rsidR="003B4B1F" w:rsidRPr="003B4B1F" w:rsidRDefault="003B4B1F" w:rsidP="005A5021">
      <w:pPr>
        <w:jc w:val="both"/>
        <w:rPr>
          <w:lang/>
        </w:rPr>
      </w:pPr>
      <w:r w:rsidRPr="003B4B1F">
        <w:rPr>
          <w:lang/>
        </w:rPr>
        <w:t>Indice dei rifiuti alimentari dell'UNEP: Incoraggia pratiche di monitoraggio globale standardizzate per monitorare gli obiettivi di riduzione degli sprechi alimentari.</w:t>
      </w:r>
    </w:p>
    <w:p w14:paraId="3D71C264" w14:textId="700A19B1" w:rsidR="003B4B1F" w:rsidRPr="005A5021" w:rsidRDefault="003B4B1F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>Diapositiva 9: Esempi di iniziative di monitoraggio di successo (parte 2)</w:t>
      </w:r>
    </w:p>
    <w:p w14:paraId="143D4B06" w14:textId="5919CD5E" w:rsidR="003B4B1F" w:rsidRPr="005A5021" w:rsidRDefault="003B4B1F" w:rsidP="005A5021">
      <w:pPr>
        <w:jc w:val="both"/>
        <w:rPr>
          <w:lang w:val="it-IT"/>
        </w:rPr>
      </w:pPr>
      <w:r w:rsidRPr="005A5021">
        <w:rPr>
          <w:lang w:val="it-IT"/>
        </w:rPr>
        <w:t>Politica nazionale sullo spreco alimentare e Pacte National de Lutte contre le Gaspillage Alimentaire: La Francia ha adottato un approccio legislativo alla riduzione degli sprechi alimentari, supportato da solidi meccanismi di monitoraggio.</w:t>
      </w:r>
    </w:p>
    <w:p w14:paraId="0E59F4FA" w14:textId="4DE86697" w:rsidR="003B4B1F" w:rsidRPr="005A5021" w:rsidRDefault="003B4B1F" w:rsidP="005A5021">
      <w:pPr>
        <w:jc w:val="both"/>
        <w:rPr>
          <w:lang w:val="it-IT"/>
        </w:rPr>
      </w:pPr>
      <w:r w:rsidRPr="005A5021">
        <w:rPr>
          <w:lang w:val="it-IT"/>
        </w:rPr>
        <w:t>Settimana Verspillingsvrije (Settimana senza sprechi): Una campagna annuale condotta dalla Dutch Foundation for Food Waste-Free United, con una forte attenzione al monitoraggio e al coinvolgimento del pubblico.</w:t>
      </w:r>
    </w:p>
    <w:p w14:paraId="4AB71F02" w14:textId="154A3D67" w:rsidR="003B4B1F" w:rsidRPr="005A5021" w:rsidRDefault="003B4B1F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>Diapositiva 10: Indicatori chiave di prestazione (KPI) per il monitoraggio dei rifiuti alimentari (parte 1)</w:t>
      </w:r>
    </w:p>
    <w:p w14:paraId="18E3BBA2" w14:textId="77777777" w:rsidR="003B4B1F" w:rsidRPr="003B4B1F" w:rsidRDefault="003B4B1F" w:rsidP="005A5021">
      <w:pPr>
        <w:jc w:val="both"/>
        <w:rPr>
          <w:lang/>
        </w:rPr>
      </w:pPr>
      <w:r w:rsidRPr="005A5021">
        <w:rPr>
          <w:lang w:val="it-IT"/>
        </w:rPr>
        <w:t>Un monitoraggio efficace dei rifiuti alimentari si basa su indicatori chiave di prestazione (KPI) per misurare i progressi e guidare le strategie di miglioramento.</w:t>
      </w:r>
    </w:p>
    <w:p w14:paraId="73A1F3D0" w14:textId="77777777" w:rsidR="003B4B1F" w:rsidRPr="003B4B1F" w:rsidRDefault="003B4B1F" w:rsidP="005A5021">
      <w:pPr>
        <w:numPr>
          <w:ilvl w:val="0"/>
          <w:numId w:val="11"/>
        </w:numPr>
        <w:jc w:val="both"/>
        <w:rPr>
          <w:lang/>
        </w:rPr>
      </w:pPr>
      <w:r w:rsidRPr="005A5021">
        <w:rPr>
          <w:b/>
          <w:bCs/>
          <w:lang w:val="it-IT"/>
        </w:rPr>
        <w:t xml:space="preserve">Rifiuti alimentari totali generati: </w:t>
      </w:r>
      <w:r w:rsidRPr="005A5021">
        <w:rPr>
          <w:lang w:val="it-IT"/>
        </w:rPr>
        <w:t>(in chilogrammi o tonnellate di rifiuti alimentari per settimana, mese o anno) per fornire una base di riferimento per monitorare i progressi nella riduzione dei rifiuti.</w:t>
      </w:r>
    </w:p>
    <w:p w14:paraId="27137B15" w14:textId="77777777" w:rsidR="003B4B1F" w:rsidRPr="003B4B1F" w:rsidRDefault="003B4B1F" w:rsidP="005A5021">
      <w:pPr>
        <w:numPr>
          <w:ilvl w:val="0"/>
          <w:numId w:val="11"/>
        </w:numPr>
        <w:jc w:val="both"/>
        <w:rPr>
          <w:lang/>
        </w:rPr>
      </w:pPr>
      <w:r w:rsidRPr="005A5021">
        <w:rPr>
          <w:b/>
          <w:bCs/>
          <w:lang w:val="it-IT"/>
        </w:rPr>
        <w:t>Misura dello spreco alimentare pro capite</w:t>
      </w:r>
      <w:r w:rsidRPr="005A5021">
        <w:rPr>
          <w:lang w:val="it-IT"/>
        </w:rPr>
        <w:t>: Chilogrammi di rifiuti alimentari per persona (famiglia, ristorante, azienda, ecc.) che aiuta a confrontare l'efficienza dei rifiuti alimentari tra unità o luoghi diversi.</w:t>
      </w:r>
    </w:p>
    <w:p w14:paraId="3165ACAC" w14:textId="77777777" w:rsidR="003B4B1F" w:rsidRPr="003B4B1F" w:rsidRDefault="003B4B1F" w:rsidP="005A5021">
      <w:pPr>
        <w:numPr>
          <w:ilvl w:val="0"/>
          <w:numId w:val="11"/>
        </w:numPr>
        <w:jc w:val="both"/>
        <w:rPr>
          <w:lang/>
        </w:rPr>
      </w:pPr>
      <w:r w:rsidRPr="005A5021">
        <w:rPr>
          <w:b/>
          <w:bCs/>
          <w:lang w:val="it-IT"/>
        </w:rPr>
        <w:t xml:space="preserve">Percentuale di rifiuti alimentari sottratti alle discariche </w:t>
      </w:r>
      <w:r w:rsidRPr="005A5021">
        <w:rPr>
          <w:lang w:val="it-IT"/>
        </w:rPr>
        <w:t>(ad esempio, compostati, donati o convertiti in energia), che indica l'efficacia delle strategie di diversione dei rifiuti.</w:t>
      </w:r>
    </w:p>
    <w:p w14:paraId="2A8851CE" w14:textId="48FEF088" w:rsidR="003B4B1F" w:rsidRPr="003B4B1F" w:rsidRDefault="003B4B1F" w:rsidP="005A5021">
      <w:pPr>
        <w:numPr>
          <w:ilvl w:val="0"/>
          <w:numId w:val="11"/>
        </w:numPr>
        <w:jc w:val="both"/>
        <w:rPr>
          <w:lang/>
        </w:rPr>
      </w:pPr>
      <w:r w:rsidRPr="005A5021">
        <w:rPr>
          <w:b/>
          <w:bCs/>
          <w:lang w:val="it-IT"/>
        </w:rPr>
        <w:lastRenderedPageBreak/>
        <w:t>Costo dello spreco alimentare</w:t>
      </w:r>
      <w:r w:rsidRPr="005A5021">
        <w:rPr>
          <w:lang w:val="it-IT"/>
        </w:rPr>
        <w:t>: perdita monetaria dovuta allo spreco alimentare che aiuta le aziende e le famiglie a comprendere l'impatto finanziario dello spreco.</w:t>
      </w:r>
    </w:p>
    <w:p w14:paraId="5D0A0A6F" w14:textId="653F3DEE" w:rsidR="003B4B1F" w:rsidRPr="005A5021" w:rsidRDefault="003B4B1F" w:rsidP="005A5021">
      <w:pPr>
        <w:jc w:val="both"/>
        <w:rPr>
          <w:lang w:val="it-IT"/>
        </w:rPr>
      </w:pPr>
    </w:p>
    <w:p w14:paraId="659D9F7D" w14:textId="492EFF63" w:rsidR="003B4B1F" w:rsidRPr="005A5021" w:rsidRDefault="003B4B1F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>Diapositiva 11: Indicatori chiave di prestazione (KPI) per il monitoraggio dei rifiuti alimentari (parte 2)</w:t>
      </w:r>
    </w:p>
    <w:p w14:paraId="4C2F4E5C" w14:textId="77777777" w:rsidR="003B4B1F" w:rsidRPr="003B4B1F" w:rsidRDefault="003B4B1F" w:rsidP="005A5021">
      <w:pPr>
        <w:numPr>
          <w:ilvl w:val="0"/>
          <w:numId w:val="12"/>
        </w:numPr>
        <w:jc w:val="both"/>
        <w:rPr>
          <w:lang/>
        </w:rPr>
      </w:pPr>
      <w:r w:rsidRPr="005A5021">
        <w:rPr>
          <w:b/>
          <w:bCs/>
          <w:lang w:val="it-IT"/>
        </w:rPr>
        <w:t>Tasso di recupero degli alimenti</w:t>
      </w:r>
      <w:r w:rsidRPr="005A5021">
        <w:rPr>
          <w:lang w:val="it-IT"/>
        </w:rPr>
        <w:t xml:space="preserve">: percentuale di cibo in eccesso recuperato e ridistribuito ai bisognosi, che dimostra l'efficienza dei programmi di donazione di cibo. </w:t>
      </w:r>
    </w:p>
    <w:p w14:paraId="4DDDEF98" w14:textId="77777777" w:rsidR="003B4B1F" w:rsidRPr="003B4B1F" w:rsidRDefault="003B4B1F" w:rsidP="005A5021">
      <w:pPr>
        <w:numPr>
          <w:ilvl w:val="0"/>
          <w:numId w:val="12"/>
        </w:numPr>
        <w:jc w:val="both"/>
        <w:rPr>
          <w:lang/>
        </w:rPr>
      </w:pPr>
      <w:r w:rsidRPr="005A5021">
        <w:rPr>
          <w:b/>
          <w:bCs/>
          <w:lang w:val="it-IT"/>
        </w:rPr>
        <w:t>Analisi della composizione dei rifiuti</w:t>
      </w:r>
      <w:r w:rsidRPr="005A5021">
        <w:rPr>
          <w:lang w:val="it-IT"/>
        </w:rPr>
        <w:t>: suddivisione dei rifiuti in categorie (ad esempio, frutta, verdura, latticini, ecc.) che consente di individuare i principali responsabili dei rifiuti alimentari.</w:t>
      </w:r>
    </w:p>
    <w:p w14:paraId="563D81B2" w14:textId="77777777" w:rsidR="003B4B1F" w:rsidRPr="003B4B1F" w:rsidRDefault="003B4B1F" w:rsidP="005A5021">
      <w:pPr>
        <w:numPr>
          <w:ilvl w:val="0"/>
          <w:numId w:val="12"/>
        </w:numPr>
        <w:jc w:val="both"/>
        <w:rPr>
          <w:lang/>
        </w:rPr>
      </w:pPr>
      <w:r w:rsidRPr="005A5021">
        <w:rPr>
          <w:b/>
          <w:bCs/>
          <w:lang w:val="it-IT"/>
        </w:rPr>
        <w:t>Riduzione dei rifiuti alimentari nel tempo</w:t>
      </w:r>
      <w:r w:rsidRPr="005A5021">
        <w:rPr>
          <w:lang w:val="it-IT"/>
        </w:rPr>
        <w:t>: diminuzione percentuale dei rifiuti alimentari rispetto a un anno di riferimento che traccia l'efficacia delle iniziative di riduzione dei rifiuti.</w:t>
      </w:r>
    </w:p>
    <w:p w14:paraId="72A38970" w14:textId="3B04375B" w:rsidR="003B4B1F" w:rsidRPr="003B4B1F" w:rsidRDefault="003B4B1F" w:rsidP="005A5021">
      <w:pPr>
        <w:numPr>
          <w:ilvl w:val="0"/>
          <w:numId w:val="12"/>
        </w:numPr>
        <w:jc w:val="both"/>
        <w:rPr>
          <w:lang/>
        </w:rPr>
      </w:pPr>
      <w:r w:rsidRPr="005A5021">
        <w:rPr>
          <w:b/>
          <w:bCs/>
          <w:lang w:val="it-IT"/>
        </w:rPr>
        <w:t xml:space="preserve">Emissioni di gas serra dai rifiuti alimentari: </w:t>
      </w:r>
      <w:r w:rsidRPr="005A5021">
        <w:rPr>
          <w:lang w:val="it-IT"/>
        </w:rPr>
        <w:t>Emissioni di CO₂ equivalente dalla decomposizione dei rifiuti alimentari per valutare l'impatto ambientale del cibo sprecato.</w:t>
      </w:r>
    </w:p>
    <w:p w14:paraId="3F131FDD" w14:textId="37B060AC" w:rsidR="003B4B1F" w:rsidRPr="005A5021" w:rsidRDefault="003B4B1F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12: </w:t>
      </w:r>
      <w:r w:rsidR="0061657C" w:rsidRPr="005A5021">
        <w:rPr>
          <w:lang w:val="it-IT"/>
        </w:rPr>
        <w:t xml:space="preserve">Tendenze future nel monitoraggio e nella valutazione dei rifiuti alimentari in </w:t>
      </w:r>
      <w:r w:rsidRPr="005A5021">
        <w:rPr>
          <w:lang w:val="it-IT"/>
        </w:rPr>
        <w:t xml:space="preserve">Europa </w:t>
      </w:r>
    </w:p>
    <w:p w14:paraId="1CCEAA6A" w14:textId="77777777" w:rsidR="0061657C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>I Paesi europei utilizzano sempre più spesso l'</w:t>
      </w:r>
      <w:r w:rsidRPr="005A5021">
        <w:rPr>
          <w:b/>
          <w:bCs/>
          <w:lang w:val="it-IT"/>
        </w:rPr>
        <w:t>intelligenza artificiale (AI) e l'analisi dei big data per monitorare i modelli di spreco alimentare</w:t>
      </w:r>
      <w:r w:rsidRPr="005A5021">
        <w:rPr>
          <w:lang w:val="it-IT"/>
        </w:rPr>
        <w:t>. Sensori intelligenti, riconoscimento delle immagini basato sull'intelligenza artificiale e algoritmi di apprendimento automatico aiutano le aziende e i governi ad analizzare la produzione di rifiuti, ottimizzare le catene di approvvigionamento e prevedere le eccedenze alimentari. Queste tecnologie consentono interventi più precisi e una ridistribuzione efficiente del cibo.</w:t>
      </w:r>
    </w:p>
    <w:p w14:paraId="3F6C6F23" w14:textId="77777777" w:rsidR="0061657C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 xml:space="preserve">L'UE sta lavorando per ottenere quadri di misurazione dei rifiuti alimentari più standardizzati, come quelli delineati nella </w:t>
      </w:r>
      <w:r w:rsidRPr="005A5021">
        <w:rPr>
          <w:b/>
          <w:bCs/>
          <w:lang w:val="it-IT"/>
        </w:rPr>
        <w:t xml:space="preserve">Strategia Farm to Fork dell'UE </w:t>
      </w:r>
      <w:r w:rsidRPr="005A5021">
        <w:rPr>
          <w:lang w:val="it-IT"/>
        </w:rPr>
        <w:t>e nell'</w:t>
      </w:r>
      <w:r w:rsidRPr="005A5021">
        <w:rPr>
          <w:b/>
          <w:bCs/>
          <w:lang w:val="it-IT"/>
        </w:rPr>
        <w:t>Indice dei rifiuti alimentari dell'UNEP</w:t>
      </w:r>
      <w:r w:rsidRPr="005A5021">
        <w:rPr>
          <w:lang w:val="it-IT"/>
        </w:rPr>
        <w:t>.</w:t>
      </w:r>
    </w:p>
    <w:p w14:paraId="4CCAD518" w14:textId="0479790F" w:rsidR="003B4B1F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>L'Europa sta rafforzando il suo approccio legislativo al monitoraggio dei rifiuti alimentari, con l'</w:t>
      </w:r>
      <w:r w:rsidRPr="005A5021">
        <w:rPr>
          <w:b/>
          <w:bCs/>
          <w:lang w:val="it-IT"/>
        </w:rPr>
        <w:t xml:space="preserve">obbligo di rendicontazione </w:t>
      </w:r>
      <w:r w:rsidRPr="005A5021">
        <w:rPr>
          <w:lang w:val="it-IT"/>
        </w:rPr>
        <w:t>per le grandi aziende alimentari entro il 2025, in base alla Direttiva quadro sui rifiuti dell'UE.</w:t>
      </w:r>
    </w:p>
    <w:p w14:paraId="782B0CF1" w14:textId="1591A1D8" w:rsidR="003B4B1F" w:rsidRPr="005A5021" w:rsidRDefault="003B4B1F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13: </w:t>
      </w:r>
      <w:r w:rsidR="0061657C" w:rsidRPr="005A5021">
        <w:rPr>
          <w:lang w:val="it-IT"/>
        </w:rPr>
        <w:t>Monitoraggio dello spreco alimentare ed economia circolare</w:t>
      </w:r>
    </w:p>
    <w:p w14:paraId="1D3C4167" w14:textId="77777777" w:rsidR="0061657C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>Sempre più Paesi europei stanno integrando il monitoraggio dei rifiuti alimentari con i principi dell'economia circolare. Innovazioni come l'</w:t>
      </w:r>
      <w:r w:rsidRPr="005A5021">
        <w:rPr>
          <w:b/>
          <w:bCs/>
          <w:lang w:val="it-IT"/>
        </w:rPr>
        <w:t>upcycling dei sottoprodotti alimentari</w:t>
      </w:r>
      <w:r w:rsidRPr="005A5021">
        <w:rPr>
          <w:lang w:val="it-IT"/>
        </w:rPr>
        <w:t xml:space="preserve">, la conversione dei rifiuti in mangimi per animali e l'espansione delle iniziative di compostaggio e biogas stanno diventando strategie chiave. </w:t>
      </w:r>
    </w:p>
    <w:p w14:paraId="2BA5BC00" w14:textId="77777777" w:rsidR="0061657C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>L'UE finanzia anche la ricerca sugli usi alternativi delle eccedenze alimentari, assicurando che gli sprechi siano ridotti al minimo in ogni fase del sistema alimentare.</w:t>
      </w:r>
    </w:p>
    <w:p w14:paraId="4B002C3F" w14:textId="57544DDC" w:rsidR="00B20D70" w:rsidRPr="005A5021" w:rsidRDefault="005A5021" w:rsidP="005A5021">
      <w:pPr>
        <w:pStyle w:val="Titolo2"/>
        <w:jc w:val="both"/>
        <w:rPr>
          <w:lang w:val="it-IT"/>
        </w:rPr>
      </w:pPr>
      <w:r w:rsidRPr="005A5021">
        <w:rPr>
          <w:lang w:val="it-IT"/>
        </w:rPr>
        <w:t xml:space="preserve">Diapositiva </w:t>
      </w:r>
      <w:r w:rsidR="003B4B1F" w:rsidRPr="005A5021">
        <w:rPr>
          <w:lang w:val="it-IT"/>
        </w:rPr>
        <w:t>14</w:t>
      </w:r>
      <w:r w:rsidRPr="005A5021">
        <w:rPr>
          <w:lang w:val="it-IT"/>
        </w:rPr>
        <w:t xml:space="preserve">: </w:t>
      </w:r>
      <w:r w:rsidR="002F23A2" w:rsidRPr="005A5021">
        <w:rPr>
          <w:lang w:val="it-IT"/>
        </w:rPr>
        <w:t>Conclusioni</w:t>
      </w:r>
    </w:p>
    <w:p w14:paraId="2F020598" w14:textId="77777777" w:rsidR="0061657C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 xml:space="preserve">Il monitoraggio e la valutazione sono componenti essenziali delle strategie di controllo dei rifiuti alimentari, in quanto sono alla base di un'attuazione efficace e di progressi continui. </w:t>
      </w:r>
    </w:p>
    <w:p w14:paraId="7B9D70B5" w14:textId="77777777" w:rsidR="0061657C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 xml:space="preserve">Il M&amp;E facilita la responsabilità, l'efficienza delle risorse e l'adattabilità attraverso la fornitura di dati affidabili e approfondimenti praticabili. </w:t>
      </w:r>
    </w:p>
    <w:p w14:paraId="61F9BD72" w14:textId="77777777" w:rsidR="0061657C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 xml:space="preserve">Inoltre, promuove un miglioramento continuo, mostrando i benefici ambientali e sociali della riduzione al minimo dei rifiuti alimentari. </w:t>
      </w:r>
    </w:p>
    <w:p w14:paraId="47D2BA72" w14:textId="19F707AC" w:rsidR="003B4B1F" w:rsidRPr="0061657C" w:rsidRDefault="0061657C" w:rsidP="005A5021">
      <w:pPr>
        <w:jc w:val="both"/>
        <w:rPr>
          <w:lang/>
        </w:rPr>
      </w:pPr>
      <w:r w:rsidRPr="005A5021">
        <w:rPr>
          <w:lang w:val="it-IT"/>
        </w:rPr>
        <w:t>Per ottimizzare l'utilità, i quadri di M&amp;E devono essere integrati fin dall'inizio, coinvolgere tutte le parti interessate e utilizzare metriche standardizzate per garantire coerenza e comparabilità.</w:t>
      </w:r>
    </w:p>
    <w:p w14:paraId="138E3B63" w14:textId="370F8D64" w:rsidR="003B4B1F" w:rsidRDefault="003B4B1F" w:rsidP="005A5021">
      <w:pPr>
        <w:pStyle w:val="Titolo2"/>
        <w:jc w:val="both"/>
      </w:pPr>
      <w:r>
        <w:t>Diapositiva 15: Grazie</w:t>
      </w:r>
    </w:p>
    <w:p w14:paraId="268691A5" w14:textId="77777777" w:rsidR="003B4B1F" w:rsidRDefault="003B4B1F"/>
    <w:sectPr w:rsidR="003B4B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9033B9"/>
    <w:multiLevelType w:val="hybridMultilevel"/>
    <w:tmpl w:val="197CF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C61AB"/>
    <w:multiLevelType w:val="hybridMultilevel"/>
    <w:tmpl w:val="2FE23A44"/>
    <w:lvl w:ilvl="0" w:tplc="A2286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8B5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4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2E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22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6D6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EA5D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A00A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DA4E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9D7CA0"/>
    <w:multiLevelType w:val="hybridMultilevel"/>
    <w:tmpl w:val="C68A1400"/>
    <w:lvl w:ilvl="0" w:tplc="B6EE3D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4A03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286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48B7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84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3E48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4E9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BC3A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EE8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296228">
    <w:abstractNumId w:val="8"/>
  </w:num>
  <w:num w:numId="2" w16cid:durableId="1424955454">
    <w:abstractNumId w:val="6"/>
  </w:num>
  <w:num w:numId="3" w16cid:durableId="1330015734">
    <w:abstractNumId w:val="5"/>
  </w:num>
  <w:num w:numId="4" w16cid:durableId="1273896541">
    <w:abstractNumId w:val="4"/>
  </w:num>
  <w:num w:numId="5" w16cid:durableId="172961748">
    <w:abstractNumId w:val="7"/>
  </w:num>
  <w:num w:numId="6" w16cid:durableId="2061055163">
    <w:abstractNumId w:val="3"/>
  </w:num>
  <w:num w:numId="7" w16cid:durableId="922835587">
    <w:abstractNumId w:val="2"/>
  </w:num>
  <w:num w:numId="8" w16cid:durableId="1846168691">
    <w:abstractNumId w:val="1"/>
  </w:num>
  <w:num w:numId="9" w16cid:durableId="732849756">
    <w:abstractNumId w:val="0"/>
  </w:num>
  <w:num w:numId="10" w16cid:durableId="2013599661">
    <w:abstractNumId w:val="9"/>
  </w:num>
  <w:num w:numId="11" w16cid:durableId="63795836">
    <w:abstractNumId w:val="10"/>
  </w:num>
  <w:num w:numId="12" w16cid:durableId="941369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3633"/>
    <w:rsid w:val="0029639D"/>
    <w:rsid w:val="002F23A2"/>
    <w:rsid w:val="00326F90"/>
    <w:rsid w:val="003B4B1F"/>
    <w:rsid w:val="005A5021"/>
    <w:rsid w:val="0061657C"/>
    <w:rsid w:val="00AA1D8D"/>
    <w:rsid w:val="00B20D70"/>
    <w:rsid w:val="00B47730"/>
    <w:rsid w:val="00CB0664"/>
    <w:rsid w:val="00D427D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334CD"/>
  <w14:defaultImageDpi w14:val="300"/>
  <w15:docId w15:val="{1D6A4C09-79B0-8649-BCA6-E321900B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60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71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361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606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599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8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01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49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926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8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6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016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7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52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72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2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b31934-cd94-4037-b0a6-7d8c6b041c15" xsi:nil="true"/>
    <lcf76f155ced4ddcb4097134ff3c332f xmlns="fffe3cb1-a735-42ee-a969-db02c88060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195D22F98D5F46A4285EEC98E38383" ma:contentTypeVersion="15" ma:contentTypeDescription="Creare un nuovo documento." ma:contentTypeScope="" ma:versionID="fbb6fcbc179473d5a0e17ce8a3ccbbfd">
  <xsd:schema xmlns:xsd="http://www.w3.org/2001/XMLSchema" xmlns:xs="http://www.w3.org/2001/XMLSchema" xmlns:p="http://schemas.microsoft.com/office/2006/metadata/properties" xmlns:ns2="fffe3cb1-a735-42ee-a969-db02c88060ce" xmlns:ns3="30b31934-cd94-4037-b0a6-7d8c6b041c15" targetNamespace="http://schemas.microsoft.com/office/2006/metadata/properties" ma:root="true" ma:fieldsID="4235ec65bf4b31b25ab8a4bc2e2b83d4" ns2:_="" ns3:_="">
    <xsd:import namespace="fffe3cb1-a735-42ee-a969-db02c88060ce"/>
    <xsd:import namespace="30b31934-cd94-4037-b0a6-7d8c6b041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3cb1-a735-42ee-a969-db02c8806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7a14436-7c6f-4ffb-ac25-d8143c857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1934-cd94-4037-b0a6-7d8c6b041c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e241c4-d51d-48bd-bcc0-d85d3b916079}" ma:internalName="TaxCatchAll" ma:showField="CatchAllData" ma:web="30b31934-cd94-4037-b0a6-7d8c6b041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B77F9-D768-4559-A573-3B27D8EE7CB2}">
  <ds:schemaRefs>
    <ds:schemaRef ds:uri="http://schemas.microsoft.com/office/2006/metadata/properties"/>
    <ds:schemaRef ds:uri="http://schemas.microsoft.com/office/infopath/2007/PartnerControls"/>
    <ds:schemaRef ds:uri="30b31934-cd94-4037-b0a6-7d8c6b041c15"/>
    <ds:schemaRef ds:uri="fffe3cb1-a735-42ee-a969-db02c88060ce"/>
  </ds:schemaRefs>
</ds:datastoreItem>
</file>

<file path=customXml/itemProps3.xml><?xml version="1.0" encoding="utf-8"?>
<ds:datastoreItem xmlns:ds="http://schemas.openxmlformats.org/officeDocument/2006/customXml" ds:itemID="{DB6F73E3-5D3B-448C-87F3-798F36CECC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797AE-9147-4D15-82B2-00F4CB38DD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>, docId:7466792C3B4FC3697E08FFA58B239A67</cp:keywords>
  <dc:description>generated by python-docx</dc:description>
  <cp:lastModifiedBy>Dionisio Capuano</cp:lastModifiedBy>
  <cp:revision>5</cp:revision>
  <dcterms:created xsi:type="dcterms:W3CDTF">2013-12-23T23:15:00Z</dcterms:created>
  <dcterms:modified xsi:type="dcterms:W3CDTF">2025-05-30T12:59:00Z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0x01010057195D22F98D5F46A4285EEC98E38383</vt:lpwstr>
  </property>
</Properties>
</file>